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07E6B5" w14:textId="77777777" w:rsidR="00914DE2" w:rsidRDefault="00000000">
      <w:pPr>
        <w:spacing w:after="120"/>
        <w:rPr>
          <w:sz w:val="48"/>
          <w:szCs w:val="48"/>
        </w:rPr>
      </w:pPr>
      <w:r w:rsidRPr="005900E3">
        <w:rPr>
          <w:sz w:val="48"/>
          <w:szCs w:val="48"/>
        </w:rPr>
        <w:t>Predicting the Number of Forest and Land Fire Hotspot Occurrences Using the ARIMA and SARIMA Methods</w:t>
      </w:r>
    </w:p>
    <w:p w14:paraId="252A784F" w14:textId="77777777" w:rsidR="00914DE2" w:rsidRDefault="00914DE2">
      <w:pPr>
        <w:spacing w:before="360" w:after="40"/>
        <w:rPr>
          <w:sz w:val="22"/>
          <w:szCs w:val="22"/>
        </w:rPr>
        <w:sectPr w:rsidR="00914DE2">
          <w:headerReference w:type="default" r:id="rId8"/>
          <w:footerReference w:type="default" r:id="rId9"/>
          <w:pgSz w:w="11909" w:h="16834"/>
          <w:pgMar w:top="1080" w:right="734" w:bottom="2434" w:left="734" w:header="0" w:footer="720" w:gutter="0"/>
          <w:pgNumType w:start="1"/>
          <w:cols w:space="720"/>
        </w:sectPr>
      </w:pPr>
    </w:p>
    <w:p w14:paraId="69563E45" w14:textId="77777777" w:rsidR="00CB6D9E" w:rsidRPr="00090CBC" w:rsidRDefault="00000000" w:rsidP="00CB6D9E">
      <w:pPr>
        <w:spacing w:before="360" w:after="40"/>
        <w:rPr>
          <w:sz w:val="22"/>
          <w:szCs w:val="22"/>
        </w:rPr>
      </w:pPr>
      <w:r>
        <w:rPr>
          <w:sz w:val="22"/>
          <w:szCs w:val="22"/>
        </w:rPr>
        <w:t xml:space="preserve">Angga Bayu </w:t>
      </w:r>
      <w:r w:rsidR="00EC4A5C">
        <w:rPr>
          <w:sz w:val="22"/>
          <w:szCs w:val="22"/>
        </w:rPr>
        <w:t>Santoso</w:t>
      </w:r>
      <w:r w:rsidR="00EC4A5C" w:rsidRPr="00CB6D9E">
        <w:rPr>
          <w:sz w:val="22"/>
          <w:szCs w:val="22"/>
          <w:vertAlign w:val="superscript"/>
        </w:rPr>
        <w:t xml:space="preserve"> [1]</w:t>
      </w:r>
      <w:r w:rsidR="00EC4A5C">
        <w:rPr>
          <w:sz w:val="22"/>
          <w:szCs w:val="22"/>
          <w:vertAlign w:val="superscript"/>
        </w:rPr>
        <w:t xml:space="preserve"> *</w:t>
      </w:r>
      <w:r>
        <w:rPr>
          <w:sz w:val="22"/>
          <w:szCs w:val="22"/>
        </w:rPr>
        <w:t xml:space="preserve">, Tri </w:t>
      </w:r>
      <w:r w:rsidR="00EC4A5C">
        <w:rPr>
          <w:sz w:val="22"/>
          <w:szCs w:val="22"/>
        </w:rPr>
        <w:t>Widodo</w:t>
      </w:r>
      <w:r w:rsidR="00EC4A5C">
        <w:rPr>
          <w:sz w:val="22"/>
          <w:szCs w:val="22"/>
          <w:vertAlign w:val="superscript"/>
        </w:rPr>
        <w:t xml:space="preserve"> [</w:t>
      </w:r>
      <w:r>
        <w:rPr>
          <w:sz w:val="22"/>
          <w:szCs w:val="22"/>
          <w:vertAlign w:val="superscript"/>
        </w:rPr>
        <w:t>2</w:t>
      </w:r>
      <w:r w:rsidRPr="00CB6D9E">
        <w:rPr>
          <w:sz w:val="22"/>
          <w:szCs w:val="22"/>
          <w:vertAlign w:val="superscript"/>
        </w:rPr>
        <w:t>]</w:t>
      </w:r>
    </w:p>
    <w:p w14:paraId="2C9FD986" w14:textId="77777777" w:rsidR="00914DE2" w:rsidRDefault="00000000">
      <w:r w:rsidRPr="00EB5AC6">
        <w:t xml:space="preserve">Faculty of Engineering and Computer </w:t>
      </w:r>
      <w:r w:rsidR="00EC4A5C" w:rsidRPr="00EB5AC6">
        <w:t>Science</w:t>
      </w:r>
      <w:r w:rsidR="00EC4A5C" w:rsidRPr="00CB6D9E">
        <w:rPr>
          <w:vertAlign w:val="superscript"/>
        </w:rPr>
        <w:t xml:space="preserve"> [</w:t>
      </w:r>
      <w:r w:rsidR="00CB6D9E" w:rsidRPr="00CB6D9E">
        <w:rPr>
          <w:vertAlign w:val="superscript"/>
        </w:rPr>
        <w:t>1], [2]</w:t>
      </w:r>
    </w:p>
    <w:p w14:paraId="0B68B835" w14:textId="77777777" w:rsidR="00914DE2" w:rsidRDefault="00000000">
      <w:r>
        <w:t>Universitas Teknokrat Indonesia</w:t>
      </w:r>
    </w:p>
    <w:p w14:paraId="4B6F8A84" w14:textId="77777777" w:rsidR="00914DE2" w:rsidRDefault="00000000">
      <w:r>
        <w:t>Bandar Lampung</w:t>
      </w:r>
      <w:r w:rsidR="00960D61">
        <w:t>, Lampung</w:t>
      </w:r>
      <w:r w:rsidR="00CB6D9E">
        <w:t xml:space="preserve">, </w:t>
      </w:r>
      <w:r>
        <w:t>Indonesia</w:t>
      </w:r>
    </w:p>
    <w:p w14:paraId="1121CBD0" w14:textId="77777777" w:rsidR="00914DE2" w:rsidRPr="00960D61" w:rsidRDefault="00000000">
      <w:r>
        <w:t>anggabayu@teknokrat.ac.id</w:t>
      </w:r>
      <w:r w:rsidRPr="00CB6D9E">
        <w:rPr>
          <w:vertAlign w:val="superscript"/>
        </w:rPr>
        <w:t xml:space="preserve"> [</w:t>
      </w:r>
      <w:r w:rsidR="00CB6D9E" w:rsidRPr="00CB6D9E">
        <w:rPr>
          <w:vertAlign w:val="superscript"/>
        </w:rPr>
        <w:t>1]</w:t>
      </w:r>
      <w:r w:rsidR="00960D61">
        <w:t>,</w:t>
      </w:r>
      <w:r w:rsidR="00960D61" w:rsidRPr="00960D61">
        <w:t xml:space="preserve"> </w:t>
      </w:r>
      <w:r w:rsidR="00960D61">
        <w:t>tri_widodo@teknokrat.ac.id</w:t>
      </w:r>
      <w:r w:rsidR="00CB6D9E" w:rsidRPr="00CB6D9E">
        <w:rPr>
          <w:vertAlign w:val="superscript"/>
        </w:rPr>
        <w:t xml:space="preserve"> [2]</w:t>
      </w:r>
    </w:p>
    <w:p w14:paraId="5894A694" w14:textId="77777777" w:rsidR="00CB6D9E" w:rsidRDefault="00CB6D9E">
      <w:pPr>
        <w:sectPr w:rsidR="00CB6D9E">
          <w:type w:val="continuous"/>
          <w:pgSz w:w="11909" w:h="16834"/>
          <w:pgMar w:top="1080" w:right="734" w:bottom="2434" w:left="734" w:header="0" w:footer="720" w:gutter="0"/>
          <w:cols w:space="720"/>
        </w:sectPr>
      </w:pPr>
    </w:p>
    <w:p w14:paraId="59C7688F" w14:textId="77777777" w:rsidR="00914DE2" w:rsidRDefault="00914DE2"/>
    <w:p w14:paraId="52032C43" w14:textId="77777777" w:rsidR="00914DE2" w:rsidRDefault="00914DE2"/>
    <w:p w14:paraId="5EC5D8E9" w14:textId="77777777" w:rsidR="00914DE2" w:rsidRDefault="00914DE2">
      <w:pPr>
        <w:sectPr w:rsidR="00914DE2">
          <w:type w:val="continuous"/>
          <w:pgSz w:w="11909" w:h="16834"/>
          <w:pgMar w:top="1080" w:right="734" w:bottom="2434" w:left="734" w:header="0" w:footer="720" w:gutter="0"/>
          <w:cols w:space="720"/>
        </w:sectPr>
      </w:pPr>
    </w:p>
    <w:p w14:paraId="671F42ED" w14:textId="77777777" w:rsidR="00914DE2" w:rsidRPr="00750F91" w:rsidRDefault="00000000">
      <w:pPr>
        <w:spacing w:after="200"/>
        <w:ind w:firstLine="274"/>
        <w:jc w:val="both"/>
        <w:rPr>
          <w:b/>
          <w:bCs/>
          <w:sz w:val="18"/>
          <w:szCs w:val="18"/>
        </w:rPr>
      </w:pPr>
      <w:r>
        <w:rPr>
          <w:b/>
          <w:i/>
          <w:sz w:val="18"/>
          <w:szCs w:val="18"/>
        </w:rPr>
        <w:t>Abstract</w:t>
      </w:r>
      <w:r>
        <w:rPr>
          <w:b/>
          <w:sz w:val="18"/>
          <w:szCs w:val="18"/>
        </w:rPr>
        <w:t>—</w:t>
      </w:r>
      <w:r w:rsidR="006C7283" w:rsidRPr="006C7283">
        <w:t xml:space="preserve"> </w:t>
      </w:r>
      <w:r w:rsidR="00750F91" w:rsidRPr="00750F91">
        <w:rPr>
          <w:b/>
          <w:bCs/>
          <w:sz w:val="18"/>
          <w:szCs w:val="18"/>
        </w:rPr>
        <w:t>Forests are an area and part of the environmental cycle that is very important for survival because forests are areas on Earth that regulate the balance of the ecosystem. Forest fires rank second to illegal logging in Indonesia's list of forest destruction causes. Forest fires can occur due to two factors, namely natural and human factors. Therefore, the hotspot factor that can cause forest fires is an independent variable. The population of hotspots in the West Kalimantan region in 2020 amounted to 1,416 hotspots. This study aims to predict the number of hotspots on land and forests that cause fires before the fires spread and are challenging to overcome or extinguish. The method to indicate the number of hotspot occurrences uses the Autoregressive Integrated Moving Average (ARIMA) and Seasonal Autoregressive Integrated Moving Average (SARIMA) methods. Modeling ARIMA (0,1,1) and SARIMA (0,1,1) (2,2,1)12 obtained Root Mean Square Error (RMSE) evaluation results for ARIMA of 6.61 while SARIMA of 7.61. The Mean Squared Error (MSE) evaluation value for ARIMA is 43.70 and SARIMA is 58.05. Based on these results, it can be concluded that the ARIMA model provides excellent and accurate performance in describing the trend of hotspot events that will occur in the future with a smaller RMSE value compared to SARIMA</w:t>
      </w:r>
      <w:r w:rsidR="006C7283" w:rsidRPr="00750F91">
        <w:rPr>
          <w:b/>
          <w:bCs/>
          <w:sz w:val="18"/>
          <w:szCs w:val="18"/>
        </w:rPr>
        <w:t>.</w:t>
      </w:r>
    </w:p>
    <w:p w14:paraId="35576799" w14:textId="77777777" w:rsidR="00914DE2" w:rsidRDefault="00000000">
      <w:pPr>
        <w:spacing w:after="120"/>
        <w:ind w:firstLine="274"/>
        <w:jc w:val="both"/>
        <w:rPr>
          <w:b/>
          <w:i/>
          <w:sz w:val="18"/>
          <w:szCs w:val="18"/>
        </w:rPr>
      </w:pPr>
      <w:r>
        <w:rPr>
          <w:b/>
          <w:i/>
          <w:sz w:val="18"/>
          <w:szCs w:val="18"/>
        </w:rPr>
        <w:t>Keywords—</w:t>
      </w:r>
      <w:r w:rsidR="008B64E6" w:rsidRPr="008B64E6">
        <w:t xml:space="preserve"> </w:t>
      </w:r>
      <w:r w:rsidR="00750F91" w:rsidRPr="00750F91">
        <w:rPr>
          <w:b/>
          <w:iCs/>
          <w:sz w:val="18"/>
          <w:szCs w:val="18"/>
        </w:rPr>
        <w:t>Forestry, Land and Forest Fires, Hotspot, ARIMA, SARIMA</w:t>
      </w:r>
    </w:p>
    <w:p w14:paraId="752E28D4" w14:textId="77777777" w:rsidR="00540356" w:rsidRDefault="00540356">
      <w:pPr>
        <w:spacing w:after="120"/>
        <w:ind w:firstLine="274"/>
        <w:jc w:val="both"/>
        <w:rPr>
          <w:b/>
          <w:i/>
          <w:sz w:val="18"/>
          <w:szCs w:val="18"/>
        </w:rPr>
      </w:pPr>
    </w:p>
    <w:p w14:paraId="06E13B77" w14:textId="77777777" w:rsidR="00540356" w:rsidRDefault="00000000" w:rsidP="00540356">
      <w:pPr>
        <w:spacing w:after="200"/>
        <w:ind w:firstLine="274"/>
        <w:jc w:val="both"/>
        <w:rPr>
          <w:b/>
          <w:sz w:val="18"/>
          <w:szCs w:val="18"/>
        </w:rPr>
      </w:pPr>
      <w:bookmarkStart w:id="0" w:name="_Hlk151980298"/>
      <w:r>
        <w:rPr>
          <w:b/>
          <w:i/>
          <w:sz w:val="18"/>
          <w:szCs w:val="18"/>
        </w:rPr>
        <w:t>Abstrak</w:t>
      </w:r>
      <w:r>
        <w:rPr>
          <w:b/>
          <w:sz w:val="18"/>
          <w:szCs w:val="18"/>
        </w:rPr>
        <w:t>—</w:t>
      </w:r>
      <w:r w:rsidR="00750F91" w:rsidRPr="00750F91">
        <w:rPr>
          <w:b/>
          <w:bCs/>
          <w:sz w:val="18"/>
          <w:szCs w:val="18"/>
        </w:rPr>
        <w:t xml:space="preserve"> </w:t>
      </w:r>
      <w:r w:rsidR="00750F91" w:rsidRPr="00E126CB">
        <w:rPr>
          <w:b/>
          <w:bCs/>
          <w:sz w:val="18"/>
          <w:szCs w:val="18"/>
        </w:rPr>
        <w:t xml:space="preserve">Hutan merupakan wilayah dan bagian dari siklus lingkungan hidup yang sangat penting untuk kelangsungan hidup, sebab hutan merupakan wilayah di bumi yang mengatur keseimbangan ekosistem. Kebakaran hutan berada di peringkat kedua setelah </w:t>
      </w:r>
      <w:r w:rsidR="00750F91" w:rsidRPr="00E126CB">
        <w:rPr>
          <w:b/>
          <w:bCs/>
          <w:i/>
          <w:iCs/>
          <w:sz w:val="18"/>
          <w:szCs w:val="18"/>
        </w:rPr>
        <w:t>ilegal logging</w:t>
      </w:r>
      <w:r w:rsidR="00750F91" w:rsidRPr="00E126CB">
        <w:rPr>
          <w:b/>
          <w:bCs/>
          <w:sz w:val="18"/>
          <w:szCs w:val="18"/>
        </w:rPr>
        <w:t xml:space="preserve"> dalam daftar penyebab kerusakan hutan di Indonesia. Bencana kebakaran hutan dapat terjadi karena dua faktor, yakni faktor alam dan manusia. Oleh karena itu, faktor titik panas yang dapat menimbulkan kejadian kebakaran hutan berperan sebagai variabel independen. Populasi titik api wilayah Kalimantan Barat tahun 2020 berjumlah 1.416 titik. Tujuan dari penelitian ini untuk memprediksi jumlah kemunculan titik api pada lahan dan hutan yang menyebabkan kebakaran, sebelum kebakaran tersebut menyebar dan sulit untuk diatasi atau dipadamkan. Metode yang digunakan untuk melakukan prediksi jumlah kemunculan </w:t>
      </w:r>
      <w:r w:rsidR="00750F91" w:rsidRPr="00E126CB">
        <w:rPr>
          <w:b/>
          <w:bCs/>
          <w:i/>
          <w:iCs/>
          <w:sz w:val="18"/>
          <w:szCs w:val="18"/>
        </w:rPr>
        <w:t>hotspot</w:t>
      </w:r>
      <w:r w:rsidR="00750F91" w:rsidRPr="00E126CB">
        <w:rPr>
          <w:b/>
          <w:bCs/>
          <w:sz w:val="18"/>
          <w:szCs w:val="18"/>
        </w:rPr>
        <w:t xml:space="preserve"> menggunakan metode </w:t>
      </w:r>
      <w:r w:rsidR="00750F91" w:rsidRPr="00E126CB">
        <w:rPr>
          <w:b/>
          <w:bCs/>
          <w:i/>
          <w:iCs/>
          <w:sz w:val="18"/>
          <w:szCs w:val="18"/>
        </w:rPr>
        <w:t>Autoregresif Integrated Moving Average</w:t>
      </w:r>
      <w:r w:rsidR="00750F91" w:rsidRPr="00E126CB">
        <w:rPr>
          <w:b/>
          <w:bCs/>
          <w:sz w:val="18"/>
          <w:szCs w:val="18"/>
        </w:rPr>
        <w:t xml:space="preserve"> (ARIMA) dan </w:t>
      </w:r>
      <w:r w:rsidR="00750F91" w:rsidRPr="00E126CB">
        <w:rPr>
          <w:b/>
          <w:bCs/>
          <w:i/>
          <w:iCs/>
          <w:sz w:val="18"/>
          <w:szCs w:val="18"/>
        </w:rPr>
        <w:t>Seasonal Autoregressive Integrated Moving Average</w:t>
      </w:r>
      <w:r w:rsidR="00750F91" w:rsidRPr="00E126CB">
        <w:rPr>
          <w:b/>
          <w:bCs/>
          <w:sz w:val="18"/>
          <w:szCs w:val="18"/>
        </w:rPr>
        <w:t xml:space="preserve"> (SARIMA).  Pemodelan ARIMA (0,1,1) dan SARIMA (0,1,1) (2,2,1)12 </w:t>
      </w:r>
      <w:r w:rsidR="00750F91" w:rsidRPr="00E126CB">
        <w:rPr>
          <w:b/>
          <w:bCs/>
          <w:sz w:val="18"/>
          <w:szCs w:val="18"/>
        </w:rPr>
        <w:t xml:space="preserve">didapatkan hasil evaluasi </w:t>
      </w:r>
      <w:r w:rsidR="00750F91" w:rsidRPr="00E126CB">
        <w:rPr>
          <w:b/>
          <w:bCs/>
          <w:i/>
          <w:iCs/>
          <w:sz w:val="18"/>
          <w:szCs w:val="18"/>
        </w:rPr>
        <w:t>Root Mean Square Error</w:t>
      </w:r>
      <w:r w:rsidR="00750F91" w:rsidRPr="00E126CB">
        <w:rPr>
          <w:b/>
          <w:bCs/>
          <w:sz w:val="18"/>
          <w:szCs w:val="18"/>
        </w:rPr>
        <w:t xml:space="preserve"> (RMSE) untuk ARIMA sebesar 6,61 sedangkan SARIMA sebesar 7,61. Nilai evaluasi </w:t>
      </w:r>
      <w:r w:rsidR="00750F91" w:rsidRPr="00E126CB">
        <w:rPr>
          <w:b/>
          <w:bCs/>
          <w:i/>
          <w:iCs/>
          <w:sz w:val="18"/>
          <w:szCs w:val="18"/>
        </w:rPr>
        <w:t>Mean Squared Error</w:t>
      </w:r>
      <w:r w:rsidR="00750F91" w:rsidRPr="00E126CB">
        <w:rPr>
          <w:b/>
          <w:bCs/>
          <w:sz w:val="18"/>
          <w:szCs w:val="18"/>
        </w:rPr>
        <w:t xml:space="preserve"> (MSE) untuk ARIMA sebesar 43,70 dan SARIMA sebesar 58,05. </w:t>
      </w:r>
      <w:r w:rsidR="00750F91">
        <w:rPr>
          <w:b/>
          <w:bCs/>
          <w:sz w:val="18"/>
          <w:szCs w:val="18"/>
        </w:rPr>
        <w:t>Berdasarkan</w:t>
      </w:r>
      <w:r w:rsidR="00750F91" w:rsidRPr="00E126CB">
        <w:rPr>
          <w:b/>
          <w:bCs/>
          <w:sz w:val="18"/>
          <w:szCs w:val="18"/>
        </w:rPr>
        <w:t xml:space="preserve"> hasil tersebut dapat disimpulkan bahwa model ARIMA memberikan kinerja yang baik dan akurat dalam menggambarkan trend kejadian titik api</w:t>
      </w:r>
      <w:r w:rsidR="00750F91">
        <w:rPr>
          <w:b/>
          <w:bCs/>
          <w:sz w:val="18"/>
          <w:szCs w:val="18"/>
        </w:rPr>
        <w:t xml:space="preserve"> (</w:t>
      </w:r>
      <w:r w:rsidR="00750F91" w:rsidRPr="00E126CB">
        <w:rPr>
          <w:b/>
          <w:bCs/>
          <w:i/>
          <w:iCs/>
          <w:sz w:val="18"/>
          <w:szCs w:val="18"/>
        </w:rPr>
        <w:t>hotspot</w:t>
      </w:r>
      <w:r w:rsidR="00750F91">
        <w:rPr>
          <w:b/>
          <w:bCs/>
          <w:sz w:val="18"/>
          <w:szCs w:val="18"/>
        </w:rPr>
        <w:t>)</w:t>
      </w:r>
      <w:r w:rsidR="00750F91" w:rsidRPr="00E126CB">
        <w:rPr>
          <w:b/>
          <w:bCs/>
          <w:sz w:val="18"/>
          <w:szCs w:val="18"/>
        </w:rPr>
        <w:t xml:space="preserve"> yang akan terjadi di masa mendatang dengan nilai RMSE lebih kecil di bandingkan SARIMA.</w:t>
      </w:r>
      <w:bookmarkEnd w:id="0"/>
      <w:r w:rsidR="001B601D">
        <w:rPr>
          <w:b/>
          <w:sz w:val="18"/>
          <w:szCs w:val="18"/>
        </w:rPr>
        <w:t xml:space="preserve"> </w:t>
      </w:r>
    </w:p>
    <w:p w14:paraId="09B2EDD2" w14:textId="77777777" w:rsidR="00540356" w:rsidRDefault="00000000" w:rsidP="00540356">
      <w:pPr>
        <w:spacing w:after="120"/>
        <w:ind w:firstLine="274"/>
        <w:jc w:val="both"/>
        <w:rPr>
          <w:b/>
          <w:i/>
          <w:sz w:val="18"/>
          <w:szCs w:val="18"/>
        </w:rPr>
      </w:pPr>
      <w:r>
        <w:rPr>
          <w:b/>
          <w:i/>
          <w:sz w:val="18"/>
          <w:szCs w:val="18"/>
        </w:rPr>
        <w:t>Kata Kunci—</w:t>
      </w:r>
      <w:r w:rsidR="00750F91" w:rsidRPr="00750F91">
        <w:t xml:space="preserve"> </w:t>
      </w:r>
      <w:r w:rsidR="00750F91" w:rsidRPr="00750F91">
        <w:rPr>
          <w:rStyle w:val="IEEEAbtractChar"/>
        </w:rPr>
        <w:t>Kehutanan, Kebakaran Hutan dan Lahan, Hotspot, ARIMA, SARIMA</w:t>
      </w:r>
    </w:p>
    <w:p w14:paraId="305A3D7F" w14:textId="77777777" w:rsidR="00C40459" w:rsidRDefault="00000000" w:rsidP="005900E3">
      <w:pPr>
        <w:pStyle w:val="Heading1"/>
        <w:numPr>
          <w:ilvl w:val="0"/>
          <w:numId w:val="1"/>
        </w:numPr>
      </w:pPr>
      <w:bookmarkStart w:id="1" w:name="_Hlk134558453"/>
      <w:r>
        <w:t>Introduction</w:t>
      </w:r>
    </w:p>
    <w:p w14:paraId="10F6116C" w14:textId="77777777" w:rsidR="00914DE2" w:rsidRDefault="00000000" w:rsidP="00426C56">
      <w:pPr>
        <w:tabs>
          <w:tab w:val="left" w:pos="288"/>
        </w:tabs>
        <w:spacing w:after="120" w:line="228" w:lineRule="auto"/>
        <w:ind w:firstLine="288"/>
        <w:jc w:val="both"/>
      </w:pPr>
      <w:r w:rsidRPr="005900E3">
        <w:t xml:space="preserve">Forests are areas and parts of the environmental cycle that are very important for survival because forests are areas on Earth that regulate the balance of the ecosystem </w:t>
      </w:r>
      <w:r w:rsidRPr="00946B89">
        <w:fldChar w:fldCharType="begin" w:fldLock="1"/>
      </w:r>
      <w:r>
        <w:instrText>ADDIN CSL_CITATION {"citationItems":[{"id":"ITEM-1","itemData":{"abstract":"The research was conducted in the Bukit Senja City Forest Area, Middle Singkawang District, Singkawang City. The purpose of the research was to find out diversity of forest vegetation in the city forest and vegetation which dominate the forest. The research was carried out for ± 4 weeks in the field and continued to analysis data. Method used in the research is direct observation through the analysis of vegetation in the field by using a line of paved paths made in a direction perpendicular to the contour with 4 lines each path = 500m with lane 1 as many as 25 plots, lane 2 as many as 25 plots, lane 3 as many 19 plots and lanes 4 of 25 plots. Based on analysis on data there were dominant trees which filled the forest based on INP seed, namely Durian 78.828%, Karet 53.480% and Jelatung 22.81%. According to the type of tillers namely Karet 34.58%, Durian 26.02%, and Simpur 23.97%. From the quantitative analysis it showed that be seen that in the index value dominant (C) of a species is &lt;1, which means the kind of go contained in the research is varies not only is controlled by one kind of. Diversity Type (H ') is in the group &lt;1 which means it has a moderate Diversity Index (1 &lt;H' &lt;3). Abundant index (e) results show that the value of E =&gt; 0.6, which means that the type of abundant is high.","author":[{"dropping-particle":"","family":"Melaponty","given":"Dwiagustien Putri","non-dropping-particle":"","parse-names":false,"suffix":""},{"dropping-particle":"","family":"Fahrizal","given":"Fahrizal","non-dropping-particle":"","parse-names":false,"suffix":""},{"dropping-particle":"","family":"Manurung","given":"Togar Fernando","non-dropping-particle":"","parse-names":false,"suffix":""}],"container-title":"Jurnal Hutan Lestari","id":"ITEM-1","issue":"2","issued":{"date-parts":[["2019"]]},"page":"893-904","title":"Species diversity of forest vegetation in city forest Bukit Senja area middle Singkawang district Singkawang city","type":"article-journal","volume":"7"},"uris":["http://www.mendeley.com/documents/?uuid=b2f3355b-f9a9-470b-ae43-3c30b12914b0"]}],"mendeley":{"formattedCitation":"[1]","plainTextFormattedCitation":"[1]","previouslyFormattedCitation":"[1]"},"properties":{"noteIndex":0},"schema":"https://github.com/citation-style-language/schema/raw/master/csl-citation.json"}</w:instrText>
      </w:r>
      <w:r w:rsidRPr="00946B89">
        <w:fldChar w:fldCharType="separate"/>
      </w:r>
      <w:r w:rsidRPr="00E33254">
        <w:rPr>
          <w:noProof/>
        </w:rPr>
        <w:t>[1]</w:t>
      </w:r>
      <w:r w:rsidRPr="00946B89">
        <w:fldChar w:fldCharType="end"/>
      </w:r>
      <w:r w:rsidRPr="005900E3">
        <w:t xml:space="preserve">. According to the Basic Forestry Law No.41 of 1999 concerning Forestry, a forest is an ecosystem unit in the form of an expanse of land containing biological natural resources dominated by trees in their natural environment, one and the other inseparable </w:t>
      </w:r>
      <w:r>
        <w:fldChar w:fldCharType="begin" w:fldLock="1"/>
      </w:r>
      <w:r>
        <w:instrText>ADDIN CSL_CITATION {"citationItems":[{"id":"ITEM-1","itemData":{"DOI":"10.47647/jsh.v2i2.168","ISSN":"2615-3688","abstract":"Dalam Pasal 6 Undang-Undang Nomor 5 Tahun 1990 Tentang Konservasi Sumber Daya Alam Hayati dan Ekosistemnya bahwa \"sistem penyangga kehidupan merupakan satu proses alami dari berbagai unsur hayati dan non-hayati yang menjamin kelangsungan kehidupan makhluk\". \r Pasal 43 Ayat (1) Undang-Undang Nomor 41 Tahun 1999 yang menyatakan \"bahwa setiap orang yang memiliki, mengelola, dan atau memanfaatkan hutan yang kritis atau tidak produktif, wajib melaksanakan rehabilitasi hutan untuk tujuan perlindungan dan konservasi\". Hal tersebut dapat dilakukan dengan di dampingi oleh Lembaga Swadaya Masyarakat yang bergerak di bidang kehutanan dan di fasilitasi oleh Pemerintah Provinsi.\r Hasil hutan berupa kayu maupun hasil hutan ikutan dapat diekspor ke luar negeri, sehingga mendatangkan devisa bagi negara. Ditinjau dari segi kepentingan manusia yang dapat merasakan manfaat hutan secara tidak langsung dapat dibagi dua, yaitu: manusia sebagai individu (butir a sampai g) dan manusia sebagai warga negara. Manfaat hutan tersebut diperoleh apabila hutan terjamin eksistensinya sehingga dapat berfungsi secara optimal. Fungsi­fungsi ekologi, ekonomi dan sosial dari hutan akan memberikan peranan nyata apabila pengelolaan sumber daya alam berupa hutan seiring dengan upaya pelestarian guna mewujudkan pembangunan nasional berkelanjutan.\r \r Kata Kunci: Peran Pemerintah Dalam Rehabilitasi Hutan","author":[{"dropping-particle":"","family":"Suhaibah","given":"Armiwal","non-dropping-particle":"","parse-names":false,"suffix":""}],"container-title":"Jurnal Sosial Humaniora Sigli","id":"ITEM-1","issue":"2","issued":{"date-parts":[["2019"]]},"page":"17-34","title":"Tinjauan Yuridis Terhadap Peranan Pemerintah Dalam Pelaksanaan Rehabilitasi Hutan Manggrove","type":"article-journal","volume":"2"},"uris":["http://www.mendeley.com/documents/?uuid=3160eba9-04ea-4b8c-a79c-c40d4f34db90"]}],"mendeley":{"formattedCitation":"[2]","plainTextFormattedCitation":"[2]","previouslyFormattedCitation":"[2]"},"properties":{"noteIndex":0},"schema":"https://github.com/citation-style-language/schema/raw/master/csl-citation.json"}</w:instrText>
      </w:r>
      <w:r>
        <w:fldChar w:fldCharType="separate"/>
      </w:r>
      <w:r w:rsidRPr="00E33254">
        <w:rPr>
          <w:noProof/>
        </w:rPr>
        <w:t>[2]</w:t>
      </w:r>
      <w:r>
        <w:fldChar w:fldCharType="end"/>
      </w:r>
      <w:r w:rsidRPr="005900E3">
        <w:t xml:space="preserve">. Indonesia is a country where almost all provinces have forest areas. Indonesia's forest and water conservation areas 2019 were around 123.8 million hectares </w:t>
      </w:r>
      <w:r>
        <w:fldChar w:fldCharType="begin" w:fldLock="1"/>
      </w:r>
      <w:r>
        <w:instrText>ADDIN CSL_CITATION {"citationItems":[{"id":"ITEM-1","itemData":{"ISBN":"9788578110796","ISSN":"1470160X","PMID":"25246403","abstract":"Criteria and indicators (C&amp;I) have emerged as a powerful tool in implementing sustainable forest management. In a relatively short period, around 150 countries have adopted C&amp;I. Some processes have used C&amp;I in forest management and produced progress reports. Six of the seven thematic areas common to all processes are also being used as a basis for reporting progress towards sustainable forest management [e.g., the Food and Agriculture Organization of the United Nations (FAO) in its Global Forest Resource Assessment 2005]. However, there are significant problems in the wider application of C&amp;I. A number of countries are not using C&amp;I at all, and in some countries where they are being used, it is not done in an effective manner. Areas that need improvement in order to promote the use of C&amp;I include: (1) strengthening concepts and definitions; (2) rationalising criteria and indicators; (3) further research on indicators; and (4) utilising C&amp;I in more effective ways. The future development of C&amp;I must be based on an active link between research effort and operational needs in order to prevent a waste of resources and effort. Some of the research undertaken to date has led to the adoption of innovative approaches to optimise resource use and simplify application. This paper identifies areas needing more research and draws from ongoing work to show where progress is being made. © 2006 Elsevier Ltd. All rights reserved.","author":[{"dropping-particle":"","family":"Nurbaya","given":"Siti","non-dropping-particle":"","parse-names":false,"suffix":""},{"dropping-particle":"","family":"Efransyah","given":"","non-dropping-particle":"","parse-names":false,"suffix":""},{"dropping-particle":"","family":"Murniningtyas","given":"Sri","non-dropping-particle":"","parse-names":false,"suffix":""},{"dropping-particle":"","family":"Erwinsyah","given":"","non-dropping-particle":"","parse-names":false,"suffix":""},{"dropping-particle":"","family":"Damayanti","given":"Ellyn","non-dropping-particle":"","parse-names":false,"suffix":""}],"container-title":"Capture : Jurnal Seni Media Rekam","id":"ITEM-1","issue":"2","issued":{"date-parts":[["2021"]]},"number-of-pages":"33-49","title":"Status Hutan dan Kehutanan Indonesia 2020","type":"book","volume":"17"},"uris":["http://www.mendeley.com/documents/?uuid=5e04dc5f-2433-494d-92cf-6d713a62d2a2"]}],"mendeley":{"formattedCitation":"[3]","plainTextFormattedCitation":"[3]","previouslyFormattedCitation":"[3]"},"properties":{"noteIndex":0},"schema":"https://github.com/citation-style-language/schema/raw/master/csl-citation.json"}</w:instrText>
      </w:r>
      <w:r>
        <w:fldChar w:fldCharType="separate"/>
      </w:r>
      <w:r w:rsidRPr="00E33254">
        <w:rPr>
          <w:noProof/>
        </w:rPr>
        <w:t>[3]</w:t>
      </w:r>
      <w:r>
        <w:fldChar w:fldCharType="end"/>
      </w:r>
      <w:r w:rsidRPr="005900E3">
        <w:t>.</w:t>
      </w:r>
      <w:bookmarkEnd w:id="1"/>
    </w:p>
    <w:p w14:paraId="4B071F5F" w14:textId="77777777" w:rsidR="0039542E" w:rsidRDefault="00000000" w:rsidP="00426C56">
      <w:pPr>
        <w:tabs>
          <w:tab w:val="left" w:pos="288"/>
        </w:tabs>
        <w:spacing w:after="120" w:line="228" w:lineRule="auto"/>
        <w:ind w:firstLine="288"/>
        <w:jc w:val="both"/>
      </w:pPr>
      <w:r w:rsidRPr="005900E3">
        <w:t xml:space="preserve">But today, Indonesia's deforestation rate is still relatively high, with around 115.46 thousand hectares per year in 2020 </w:t>
      </w:r>
      <w:r w:rsidR="00426C56" w:rsidRPr="00946B89">
        <w:fldChar w:fldCharType="begin" w:fldLock="1"/>
      </w:r>
      <w:r w:rsidR="00426C56">
        <w:instrText>ADDIN CSL_CITATION {"citationItems":[{"id":"ITEM-1","itemData":{"DOI":"10.14710/jiip.v6i1.10083","ISSN":"2460-142X","abstract":"Penelitian ini bertujuan untuk mengetahui perkembangan tingkat deforestasi di Indonesia dengan melihat implikasi dan upaya Indonesia dalam mengurangi deforestasi yang tentunya memberikan dampak baik terhadap pengurangan emisi atau pemanasan global. Penelitian ini menggunakan metode penelitian kualitatif yang bersumber dari berbagai literatur atau studi kepustakaan dalam menjawab hasil penelitian. Hasil temuan menemukan bahwa tingkat deforestasi di Indonesia masih tinggi. Deforestasi merupakan permasalahan yang memerlukan strategi dalam penguranganya, salah satunya dengan program REDD+ (Reducing Emissions from Deforestation and Forest Degradation). REDD+ berhasil menurunkan deforestasi setiap tahunnya karena adanya pendekatan dan kerjasama yang lebih dalam mengupayakan deforestasi serta pengurangan emisi atau pemanasan global. Dengan adanya REDD+ ini, beberapa daerah berusaha melakukan transformasi kebijakan untuk mendukung misi perbaikan ekologis dan deforestasi di kawasannya, sebagaimana terjadi di wilayah Pulau Kalimantan maupun di Nusa Tenggara Barat. ","author":[{"dropping-particle":"","family":"Wahyuni","given":"Herpita","non-dropping-particle":"","parse-names":false,"suffix":""},{"dropping-particle":"","family":"Suranto","given":"Suranto","non-dropping-particle":"","parse-names":false,"suffix":""}],"container-title":"JIIP: Jurnal Ilmiah Ilmu Pemerintahan","id":"ITEM-1","issue":"1","issued":{"date-parts":[["2021"]]},"page":"148-162","title":"Dampak Deforestasi Hutan Skala Besar terhadap Pemanasan Global di Indonesia","type":"article-journal","volume":"6"},"uris":["http://www.mendeley.com/documents/?uuid=a62d0033-a2ee-4d7d-989c-bc5c6f8dd9f3"]}],"mendeley":{"formattedCitation":"[4]","plainTextFormattedCitation":"[4]","previouslyFormattedCitation":"[4]"},"properties":{"noteIndex":0},"schema":"https://github.com/citation-style-language/schema/raw/master/csl-citation.json"}</w:instrText>
      </w:r>
      <w:r w:rsidR="00426C56" w:rsidRPr="00946B89">
        <w:fldChar w:fldCharType="separate"/>
      </w:r>
      <w:r w:rsidR="00426C56" w:rsidRPr="00E33254">
        <w:rPr>
          <w:noProof/>
        </w:rPr>
        <w:t>[4]</w:t>
      </w:r>
      <w:r w:rsidR="00426C56" w:rsidRPr="00946B89">
        <w:fldChar w:fldCharType="end"/>
      </w:r>
      <w:r w:rsidRPr="005900E3">
        <w:t xml:space="preserve">. The high rate of deforestation can undoubtedly threaten the existence and sustainability of forests in Indonesia. One of the most significant contributors to the high rate of deforestation is the forest and land fires carried out illegally by local communities and large private companies to clear land </w:t>
      </w:r>
      <w:r w:rsidR="00426C56" w:rsidRPr="00946B89">
        <w:fldChar w:fldCharType="begin" w:fldLock="1"/>
      </w:r>
      <w:r w:rsidR="00426C56">
        <w:instrText>ADDIN CSL_CITATION {"citationItems":[{"id":"ITEM-1","itemData":{"abstract":"In Agam Regency, the total forest area reached 56,450.96 ha in 2018. In 2019, the forest area had decreased by 297.42 ha so that the total forest area reached 56,153.54 ha. The cause of the reduction in forest area is deforestation. In the perspective of forestry science, deforestation is interpreted as a situation of loss of forest cover and its attributes that have implications for the loss of the structure and function of the forest itself. Over a long period of time, forests that convert to non-forests such as shrubs have the potential for forest and land fires. This study aims to determine the forests that experience deforestation and turn into non-forest cover. To determine the area of forest that is experiencing deforestation, this study uses the method of Visual Image Interpretation using Sentinel 2S Satellite Imagery with a spatial resolution of 10 meters. The results obtained are deforestation with a total area of 297.42 ha. Based on a direct view of the area experiencing deforestation at 100° 7'5,484 \"E 0° 11'6,274\" S, land cover that was previously forest has been turned into ex-fire land with an area of 1.9 ha.","author":[{"dropping-particle":"","family":"Putra","given":"Abdul Hadi","non-dropping-particle":"","parse-names":false,"suffix":""},{"dropping-particle":"","family":"Oktari","given":"Fadhilla","non-dropping-particle":"","parse-names":false,"suffix":""},{"dropping-particle":"","family":"Putriana","given":"Assyaroh Meidini","non-dropping-particle":"","parse-names":false,"suffix":""}],"container-title":"Jurnal Dialog Penanggulangan Bencana","id":"ITEM-1","issue":"2","issued":{"date-parts":[["2019"]]},"page":"191-200","title":"Deforestasi dan Pengaruhnya Terhadap Tingkat Bahaya Kebakaran Hutan di Kabupaten Agam Provinsi Sumatera Barat","type":"article-journal","volume":"10"},"uris":["http://www.mendeley.com/documents/?uuid=dc72fd89-7628-437e-aa52-fbd6fefd0449"]}],"mendeley":{"formattedCitation":"[5]","plainTextFormattedCitation":"[5]","previouslyFormattedCitation":"[6]"},"properties":{"noteIndex":0},"schema":"https://github.com/citation-style-language/schema/raw/master/csl-citation.json"}</w:instrText>
      </w:r>
      <w:r w:rsidR="00426C56" w:rsidRPr="00946B89">
        <w:fldChar w:fldCharType="separate"/>
      </w:r>
      <w:r w:rsidR="00426C56" w:rsidRPr="009622A3">
        <w:rPr>
          <w:noProof/>
        </w:rPr>
        <w:t>[5]</w:t>
      </w:r>
      <w:r w:rsidR="00426C56" w:rsidRPr="00946B89">
        <w:fldChar w:fldCharType="end"/>
      </w:r>
      <w:r w:rsidRPr="005900E3">
        <w:t>.</w:t>
      </w:r>
    </w:p>
    <w:p w14:paraId="6B4B4FC2" w14:textId="77777777" w:rsidR="0039542E" w:rsidRDefault="00000000" w:rsidP="00426C56">
      <w:pPr>
        <w:tabs>
          <w:tab w:val="left" w:pos="288"/>
        </w:tabs>
        <w:spacing w:after="120" w:line="228" w:lineRule="auto"/>
        <w:ind w:firstLine="288"/>
        <w:jc w:val="both"/>
      </w:pPr>
      <w:r w:rsidRPr="00426C56">
        <w:t xml:space="preserve">Forest and land fires rank second to illegal logging in Indonesia's list of forest destruction causes </w:t>
      </w:r>
      <w:r>
        <w:fldChar w:fldCharType="begin" w:fldLock="1"/>
      </w:r>
      <w:r>
        <w:instrText>ADDIN CSL_CITATION {"citationItems":[{"id":"ITEM-1","itemData":{"DOI":"10.29244/j-siltrop.10.3.159-165","ISSN":"2086-8227","abstract":"Forest protection is an effort to prevent and control the destruction of forests, forest areas, and forest products caused by human actions, livestock, fires, pests and diseases. The aims of this research are to identify the types of forest disturbance especially those caused by humans and physically, analyze the factors causing forest disturbance, and analyze efforts to control forest disturbance at KPH Kuningan. Forest disturbances that occurred in the KPH Kuningan during 2010-2014 included: timber theft, forest fires, forest encroachment, and natural disasters. The background of forest disturbance in the Kuningan KPH is mainly due to the socio-economic conditions of the community around the forest that are still low. Strategic actions taken to prevent forest disturbance at the KPH Kuningan are to take pre-emptive actions in the form of counseling and establish good relations between officers and the community through social communication and Community Based Forest Management (PHBM), preventive actions in the form of patrols and safeguards against forest potential, and repressive actions in the form of legal remedies against the perpetrators.\r Key words: cause of forest disturbance, type of forest disturbance, forest disturbance control","author":[{"dropping-particle":"","family":"Nurhayati","given":"Ati Dwi","non-dropping-particle":"","parse-names":false,"suffix":""},{"dropping-particle":"","family":"Arhami","given":"Liana","non-dropping-particle":"","parse-names":false,"suffix":""}],"container-title":"Journal of Tropical Silviculture","id":"ITEM-1","issue":"3","issued":{"date-parts":[["2019"]]},"page":"159-165","title":"Gangguan Hutan di KPH Kuningan Divisi Regional Jawa Barat dan Banten","type":"article-journal","volume":"10"},"uris":["http://www.mendeley.com/documents/?uuid=755323af-1de8-440f-ad79-b476a9ee09ac"]}],"mendeley":{"formattedCitation":"[6]","plainTextFormattedCitation":"[6]","previouslyFormattedCitation":"[7]"},"properties":{"noteIndex":0},"schema":"https://github.com/citation-style-language/schema/raw/master/csl-citation.json"}</w:instrText>
      </w:r>
      <w:r>
        <w:fldChar w:fldCharType="separate"/>
      </w:r>
      <w:r w:rsidRPr="009622A3">
        <w:rPr>
          <w:noProof/>
        </w:rPr>
        <w:t>[6]</w:t>
      </w:r>
      <w:r>
        <w:fldChar w:fldCharType="end"/>
      </w:r>
      <w:r w:rsidRPr="00426C56">
        <w:t xml:space="preserve">. Every year, millions of hectares of forest are burned. Forest and land fires in Indonesia generally occur on the islands of Sumatra and Kalimantan, where both islands are areas dominated by wetlands, especially flammable peatlands </w:t>
      </w:r>
      <w:r w:rsidRPr="00212528">
        <w:fldChar w:fldCharType="begin" w:fldLock="1"/>
      </w:r>
      <w:r>
        <w:instrText>ADDIN CSL_CITATION {"citationItems":[{"id":"ITEM-1","itemData":{"DOI":"10.23920/litra.v1i1.579","abstract":"ABSTRAK\r Indonesia dikenal sebagai salah satu paru-paru dunia dikarenakan lebih dari 50% wilayah daratannya berupa hutan. Namun dalam implementasinya, pengelolaan hutan belum dilakukan secara optimal, dibuktikan dengan masih adanya kasus kebakaran hutan, yang mempunyai implikasi terhadap kesehatan masyarakat dan lingkungan. Hal ini bertentangan dengan Pasal 28H ayat (1) Undang-Undang Dasar Negara Republik Indonesia Tahun 1945 yang menjelaskan bahwa setiap warga negara berhak mendapatkan lingkungan hidup yang baik dan sehat. Penelitian ini menggunakan metode yuridis normatif. Pendekatan yang digunakan yaitu perundang-undangan, konseptual dan studi kasus. Jenis data yang digunakan yaitu data kualitatif yang menggunakan sumber data sekunder. Metode pengumpulan data yang digunakan adalah studi kepustakaan. Dalam penelitian ini, penulis menemukan bahwa peran Polisi Kehutanan belum maksimal dalam pengendalian kebakaran hutan. Oleh karena itu, diperlukan penguatan peran Polisi Kehutanan untuk melakukan pengendalian kebakaran hutan. Dengan upaya tersebut, diharapkan dapat meminimalisir kasus kebakaran hutan serta dampak yang ditimbulkannya agar selaras dengan Sustainable Development Goals.\r Kata kunci:  Kebakaran Hutan; Polisi Kehutanan; Sustainable Development Goals\r  \r ABSTRACT\r Indonesia is known as one of the lungs of the world because more than 50% of its land area is forest. However, in its implementation, forest management has not been carried out optimally, as evidenced by cases of forest fires, which have implications for public health and the environment. This is contrary to Article 28H paragraph (1) of the 1945 Constitution of the Republic of Indonesia which explains that every citizen has the right to a good and healthy environment. This study uses a normative juridical method. The approach is legislation, conceptual and case studies. The type of data is qualitative data using secondary data sources. The data collection method is literature study. In this study, the authors found that the role of the forest police had not been maximized in controlling forest fires. Therefore, it is necessary to strengthen the role of the forest police in controlling forest fires. With these efforts, it is expected to minimize cases of forest fires and their impacts so that they are in line with the Sustainable Development Goals.\r Keywords: Forest Fire; Forestry Police; Sustainable Development Goals","author":[{"dropping-particle":"","family":"Muzaki","given":"Ahmad","non-dropping-particle":"","parse-names":false,"suffix":""},{"dropping-particle":"","family":"Pratiwi","given":"Reza","non-dropping-particle":"","parse-names":false,"suffix":""},{"dropping-particle":"","family":"Az Zahro","given":"Salsabila Rahma","non-dropping-particle":"","parse-names":false,"suffix":""}],"container-title":"LITRA: Jurnal Hukum Lingkungan, Tata Ruang, dan Agraria","id":"ITEM-1","issue":"1","issued":{"date-parts":[["2021"]]},"page":"22-44","title":"Pengendalian Kebakaran Hutan Melalui Penguatan Peran Polisi Kehutanan Untuk Mewujudkan Sustainable Development Goals","type":"article-journal","volume":"1"},"uris":["http://www.mendeley.com/documents/?uuid=47d48e50-ae72-47d0-9c62-3e0744a5591a"]}],"mendeley":{"formattedCitation":"[7]","plainTextFormattedCitation":"[7]","previouslyFormattedCitation":"[8]"},"properties":{"noteIndex":0},"schema":"https://github.com/citation-style-language/schema/raw/master/csl-citation.json"}</w:instrText>
      </w:r>
      <w:r w:rsidRPr="00212528">
        <w:fldChar w:fldCharType="separate"/>
      </w:r>
      <w:r w:rsidRPr="009622A3">
        <w:rPr>
          <w:noProof/>
        </w:rPr>
        <w:t>[7]</w:t>
      </w:r>
      <w:r w:rsidRPr="00212528">
        <w:fldChar w:fldCharType="end"/>
      </w:r>
      <w:r w:rsidRPr="00426C56">
        <w:t xml:space="preserve">. High organic matter content, porous nature, and low vertical conductivity are the causes of peatlands being highly volatile. Fires on peatlands are difficult to extinguish because they spread below the ground surface </w:t>
      </w:r>
      <w:r>
        <w:fldChar w:fldCharType="begin" w:fldLock="1"/>
      </w:r>
      <w:r>
        <w:instrText>ADDIN CSL_CITATION {"citationItems":[{"id":"ITEM-1","itemData":{"DOI":"10.35585/inspir.v11i2.2664","ISSN":"2088-6705","author":[{"dropping-particle":"","family":"Alkaff","given":"Muhammad","non-dropping-particle":"","parse-names":false,"suffix":""},{"dropping-particle":"","family":"Zulkarnain","given":"Andry Fajar","non-dropping-particle":"","parse-names":false,"suffix":""},{"dropping-particle":"","family":"Mustamin","given":"</w:instrText>
      </w:r>
      <w:dir w:val="ltr">
        <w:r>
          <w:instrText>Nurul Fathanah","non-dropping-particle":"","parse-names":false,"suffix":""},{"dropping-particle":"","family":"Yulianto","given":"Nandang Eko","non-dropping-particle":"","parse-names":false,"suffix":""}],"container-title":"Inspiration: Jurnal Teknologi Informasi dan Komunikasi","id":"ITEM-1","issue":"2","issued":{"date-parts":[["2021"]]},"page":"115","title":"Peramalan Jumlah Titik Api Pada Lahan Gambut Kalimantan Menggunakan Model Zero-Inflated Poisson Regression","type":"article-journal","volume":"11"},"uris":["http://www.mendeley.com/documents/?uuid=df2f9c35-0bfd-42c6-a569-b9303c783764"]}],"mendeley":{"formattedCitation":"[8]","plainTextFormattedCitation":"[8]","previouslyFormattedCitation":"[9]"},"properties":{"noteIndex":0},"schema":"https://github.com/citation-style-language/schema/raw/master/csl-citation.json"}</w:instrText>
        </w:r>
        <w:r>
          <w:fldChar w:fldCharType="separate"/>
        </w:r>
        <w:r w:rsidRPr="009622A3">
          <w:rPr>
            <w:noProof/>
          </w:rPr>
          <w:t>[8]</w:t>
        </w:r>
        <w:r>
          <w:fldChar w:fldCharType="end"/>
        </w:r>
        <w:r w:rsidRPr="00426C56">
          <w:t xml:space="preserve">. Forest fires can occur due to two factors, namely natural and human factors. Therefore, an independent variable is the hotspot factor that can cause forest fires </w:t>
        </w:r>
        <w:r w:rsidRPr="00212528">
          <w:fldChar w:fldCharType="begin" w:fldLock="1"/>
        </w:r>
        <w:r>
          <w:instrText>ADDIN CSL_CITATION {"citationItems":[{"id":"ITEM-1","itemData":{"DOI":"10.20956/geocelebes.v5i2.13454","ISSN":"2579-5821","abstract":"Penelitian ini bertujuan untuk membuat pemodelan prediksi titik panas (hotspot) di wilayah Asia Tenggara bagian Selatan dengan sejumlah prediktor signifikan menggunakan Model Multiple Regression (MR) dan untuk melakukan verifikasi prediksi model tersebut. Data yang digunakan dalam penelitian ini yaitu data observasi titik panas (hotspot) di Wilayah Indonesia yakni di Pulau Kalimantan dan Sumatera dan di Wilayah Semenanjung Malaysia serta Sabah-Sarawak. Kemudian data indeks El Nino Southern Oscillation (ENSO), Madden-Julian Oscillation (MJO), Indian Ocean Dipole (IOD) dan Monsun selama 6 tahun mulai dari tahun 2013 hingga 2018 sebagai data prediktor. Metode yang digunakan yaitu Model Multiple Regression dengan Metode Regresi Stepwise dan verifikasi skill model prediksi yang digunakan yaitu Korelasi Pearson dan RMSE. Berdasarkan hasil pemodelan dan verifikasi prediksi terbaiknya, diperoleh nilai Korelasi Pearson sebesar 0,698 dan nilai RMSE-nya sebanyak 908 hotspot. Untuk model prediksi di wilayah Sumatera oleh 7 prediktor signifikan yang terkait dengan kejadian hotspot yaitu, IOD 0 (IOD pada bulan munculnya hotspot), MJO 0, MJO 9, MJO 10, Mons 1, MJO 8, dan MJO 5. Untuk wilayah Kalimantan nilai Korelasi Pearson sebesar 0,795 dan nilai RMSE-nya sebanyak 1150 hotspot oleh 4 prediktor signifikan, MJO 9 (MJO pada 9 bulan sebelum munculnya hotspot), Mons 1, Mons 0, dan ENSO 3. Untuk wilayah Semenanjung Malaysia diperoleh nilai Korelasi Pearson sebesar 0,145 dan nilai RMSE-nya sebanyak 135 hotspot oleh 2 prediktor signifikan, Mons 2 (Mons pada 2 bulan sebelum munculnya hotspot) dan MJO 0. Kemudian untuk wilayah Sabah dan Sarawak diperoleh nilai Korelasi Pearson sebesar 0,242 dan nilai RMSE-nya sebanyak 113 hotspot oleh 2 prediktor signifikan, IOD 2 (IOD pada 2 bulan sebelum munculnya hotspot) dan MJO 0. Untuk wilayah Sumatera prediktor yang paling berpengaruh yaitu IOD 0, yakni fenomena IOD khususnya fenomena IOD (+) penyebab terjadinya musim kering ini beberapa kali terjadi di wilayah Pulau Sumatera karena letaknya berdekatan langsung dengan Samudera Hindia sehingga iklimnya juga dipengaruhi oleh lautan di dekatnya. Untuk fenomena MJO dan Monsun yang paling berpengaruh di Wilayah Kalimantan (MJO 9), Semenanjung Malaysia (Mons 2) serta Sabah - Sarawak (MJO 0). Kedua fenomena tersebut secara periodik selalu melintas di ketiga wilayah tadi khususnya berkontribusi pada bulan-bulan terjadinya musim kering, sehingga diindikasikan dapat mempengaruhi munculnya hotspot.","author":[{"dropping-particle":"","family":"Santriwati","given":"Santriwati","non-dropping-particle":"","parse-names":false,"suffix":""},{"dropping-particle":"","family":"Halide","given":"Halmar","non-dropping-particle":"","parse-names":false,"suffix":""},{"dropping-particle":"","family":"Hasanuddin","given":"Hasanuddin","non-dropping-particle":"","parse-names":false,"suffix":""}],"container-title":"Jurnal Geocelebes","id":"ITEM-1","issue":"2","issued":{"date-parts":[["2021"]]},"page":"116-130","title":"Faktor Osean – Atmosfer untuk Memprediksi Titik Panas (Hostspot) di Wilayah Asia Tenggara Bagian Selatan","type":"article-journal","volume":"5"},"uris":["http://www.mendeley.com/documents/?uuid=bc2cc4b4-6c9e-4d3a-9612-6a54bc08dafb"]}],"mendeley":{"formattedCitation":"[9]","plainTextFormattedCitation":"[9]","previouslyFormattedCitation":"[10]"},"properties":{"noteIndex":0},"schema":"https://github.com/citation-style-language/schema/raw/master/csl-citation.json"}</w:instrText>
        </w:r>
        <w:r w:rsidRPr="00212528">
          <w:fldChar w:fldCharType="separate"/>
        </w:r>
        <w:r w:rsidRPr="009622A3">
          <w:rPr>
            <w:noProof/>
          </w:rPr>
          <w:t>[9]</w:t>
        </w:r>
        <w:r w:rsidRPr="00212528">
          <w:fldChar w:fldCharType="end"/>
        </w:r>
        <w:r w:rsidRPr="00426C56">
          <w:t>.</w:t>
        </w:r>
        <w:r>
          <w:t>‬</w:t>
        </w:r>
        <w:r>
          <w:t>‬</w:t>
        </w:r>
      </w:dir>
    </w:p>
    <w:p w14:paraId="433FB3EC" w14:textId="77777777" w:rsidR="0039542E" w:rsidRDefault="00000000" w:rsidP="002C5124">
      <w:pPr>
        <w:tabs>
          <w:tab w:val="left" w:pos="288"/>
        </w:tabs>
        <w:spacing w:after="120" w:line="228" w:lineRule="auto"/>
        <w:ind w:firstLine="288"/>
        <w:jc w:val="both"/>
      </w:pPr>
      <w:r w:rsidRPr="00426C56">
        <w:lastRenderedPageBreak/>
        <w:t xml:space="preserve">A hotspot is a forest fire indicator that detects an area with a relatively higher temperature than the surrounding temperature </w:t>
      </w:r>
      <w:r>
        <w:fldChar w:fldCharType="begin" w:fldLock="1"/>
      </w:r>
      <w:r>
        <w:instrText>ADDIN CSL_CITATION {"citationItems":[{"id":"ITEM-1","itemData":{"DOI":"10.26418/justin.v9i2.42823","ISSN":"2460-3562","abstract":"Kebakaran hutan dan lahan yang terjadi di Indonesia telah menimbulkan banyak kerugian bagi masyarakat. Kebakaran hutan umumnya terjadi pada bulan Agustus dan September, bertepatan dengan musim kemarau pada sebagian besar wilayah Indonesia. Salah satu indikator terjadinya kebakaran hutan adalah titik panas. Penelitian ini menggunakan salah satu teknik data mining yaitu mengklasifikasi titik panas yang ada di Provinsi Riau. Penelitian ini menggunakan dataset kebakaran hutan Kabupaten Pelalawan pada tahun 2015 sampai 2019 dengan menggunakan algoritma Naïve Bayes. Titik panas yang akan dianalisis terdiri dari suhu, kelembaban, curah hujan, kecepatangan angin, dan kelas. Akurasi tertinggi dari dataset kebakaran hutan dan lahan pada tahun 2019 adalah sebesar 96.95%. Metode klasiﬁkasi menggunakan algoritma Naïve Bayes dapat digunakan untuk memprediksi kemunculan titik panas di masa yang akan datang sehingga dapat melakukan tindakan pencegahan sebelum terjadinya kebakaran hutan dan lahan.","author":[{"dropping-particle":"","family":"Pratiwi","given":"Trya Ayu","non-dropping-particle":"","parse-names":false,"suffix":""},{"dropping-particle":"","family":"Irsyad","given":"Muhammad","non-dropping-particle":"","parse-names":false,"suffix":""},{"dropping-particle":"","family":"Kurniawan","given":"Rahmad","non-dropping-particle":"","parse-names":false,"suffix":""}],"container-title":"Jurnal Sistem dan Teknologi Informasi (Justin)","id":"ITEM-1","issue":"2","issued":{"date-parts":[["2021"]]},"page":"101","title":"Klasifikasi Kebakaran Hutan dan Lahan Menggunakan Algoritma Naïve Bayes (Studi Kasus: Provinsi Riau)","type":"article-journal","volume":"9"},"uris":["http://www.mendeley.com/documents/?uuid=8df4fe5d-07aa-4a4a-b050-3a2b20c87b13"]}],"mendeley":{"formattedCitation":"[10]","plainTextFormattedCitation":"[10]","previouslyFormattedCitation":"[11]"},"properties":{"noteIndex":0},"schema":"https://github.com/citation-style-language/schema/raw/master/csl-citation.json"}</w:instrText>
      </w:r>
      <w:r>
        <w:fldChar w:fldCharType="separate"/>
      </w:r>
      <w:r w:rsidRPr="009622A3">
        <w:rPr>
          <w:noProof/>
        </w:rPr>
        <w:t>[10]</w:t>
      </w:r>
      <w:r>
        <w:fldChar w:fldCharType="end"/>
      </w:r>
      <w:r w:rsidRPr="00426C56">
        <w:t xml:space="preserve">. The site is represented in a point with specific coordinates. Hotspots are usually used as an early indicator to detect the possibility of forest fires in an area; the greater the number of hotspots that appear, the greater the potential for forest and land fires that occur in a room </w:t>
      </w:r>
      <w:r>
        <w:fldChar w:fldCharType="begin" w:fldLock="1"/>
      </w:r>
      <w:r>
        <w:instrText>ADDIN CSL_CITATION {"citationItems":[{"id":"ITEM-1","itemData":{"DOI":"10.20956/geocelebes.v5i2.13454","ISSN":"2579-5821","abstract":"Penelitian ini bertujuan untuk membuat pemodelan prediksi titik panas (hotspot) di wilayah Asia Tenggara bagian Selatan dengan sejumlah prediktor signifikan menggunakan Model Multiple Regression (MR) dan untuk melakukan verifikasi prediksi model tersebut. Data yang digunakan dalam penelitian ini yaitu data observasi titik panas (hotspot) di Wilayah Indonesia yakni di Pulau Kalimantan dan Sumatera dan di Wilayah Semenanjung Malaysia serta Sabah-Sarawak. Kemudian data indeks El Nino Southern Oscillation (ENSO), Madden-Julian Oscillation (MJO), Indian Ocean Dipole (IOD) dan Monsun selama 6 tahun mulai dari tahun 2013 hingga 2018 sebagai data prediktor. Metode yang digunakan yaitu Model Multiple Regression dengan Metode Regresi Stepwise dan verifikasi skill model prediksi yang digunakan yaitu Korelasi Pearson dan RMSE. Berdasarkan hasil pemodelan dan verifikasi prediksi terbaiknya, diperoleh nilai Korelasi Pearson sebesar 0,698 dan nilai RMSE-nya sebanyak 908 hotspot. Untuk model prediksi di wilayah Sumatera oleh 7 prediktor signifikan yang terkait dengan kejadian hotspot yaitu, IOD 0 (IOD pada bulan munculnya hotspot), MJO 0, MJO 9, MJO 10, Mons 1, MJO 8, dan MJO 5. Untuk wilayah Kalimantan nilai Korelasi Pearson sebesar 0,795 dan nilai RMSE-nya sebanyak 1150 hotspot oleh 4 prediktor signifikan, MJO 9 (MJO pada 9 bulan sebelum munculnya hotspot), Mons 1, Mons 0, dan ENSO 3. Untuk wilayah Semenanjung Malaysia diperoleh nilai Korelasi Pearson sebesar 0,145 dan nilai RMSE-nya sebanyak 135 hotspot oleh 2 prediktor signifikan, Mons 2 (Mons pada 2 bulan sebelum munculnya hotspot) dan MJO 0. Kemudian untuk wilayah Sabah dan Sarawak diperoleh nilai Korelasi Pearson sebesar 0,242 dan nilai RMSE-nya sebanyak 113 hotspot oleh 2 prediktor signifikan, IOD 2 (IOD pada 2 bulan sebelum munculnya hotspot) dan MJO 0. Untuk wilayah Sumatera prediktor yang paling berpengaruh yaitu IOD 0, yakni fenomena IOD khususnya fenomena IOD (+) penyebab terjadinya musim kering ini beberapa kali terjadi di wilayah Pulau Sumatera karena letaknya berdekatan langsung dengan Samudera Hindia sehingga iklimnya juga dipengaruhi oleh lautan di dekatnya. Untuk fenomena MJO dan Monsun yang paling berpengaruh di Wilayah Kalimantan (MJO 9), Semenanjung Malaysia (Mons 2) serta Sabah - Sarawak (MJO 0). Kedua fenomena tersebut secara periodik selalu melintas di ketiga wilayah tadi khususnya berkontribusi pada bulan-bulan terjadinya musim kering, sehingga diindikasikan dapat mempengaruhi munculnya hotspot.","author":[{"dropping-particle":"","family":"Santriwati","given":"Santriwati","non-dropping-particle":"","parse-names":false,"suffix":""},{"dropping-particle":"","family":"Halide","given":"Halmar","non-dropping-particle":"","parse-names":false,"suffix":""},{"dropping-particle":"","family":"Hasanuddin","given":"Hasanuddin","non-dropping-particle":"","parse-names":false,"suffix":""}],"container-title":"Jurnal Geocelebes","id":"ITEM-1","issue":"2","issued":{"date-parts":[["2021"]]},"page":"116-130","title":"Faktor Osean – Atmosfer untuk Memprediksi Titik Panas (Hostspot) di Wilayah Asia Tenggara Bagian Selatan","type":"article-journal","volume":"5"},"uris":["http://www.mendeley.com/documents/?uuid=bc2cc4b4-6c9e-4d3a-9612-6a54bc08dafb"]}],"mendeley":{"formattedCitation":"[9]","plainTextFormattedCitation":"[9]","previouslyFormattedCitation":"[10]"},"properties":{"noteIndex":0},"schema":"https://github.com/citation-style-language/schema/raw/master/csl-citation.json"}</w:instrText>
      </w:r>
      <w:r>
        <w:fldChar w:fldCharType="separate"/>
      </w:r>
      <w:r w:rsidRPr="009622A3">
        <w:rPr>
          <w:noProof/>
        </w:rPr>
        <w:t>[9]</w:t>
      </w:r>
      <w:r>
        <w:fldChar w:fldCharType="end"/>
      </w:r>
      <w:r w:rsidRPr="00426C56">
        <w:t xml:space="preserve">. Hotspots can be used as a reference for early identification of forest and land fires </w:t>
      </w:r>
      <w:r>
        <w:fldChar w:fldCharType="begin" w:fldLock="1"/>
      </w:r>
      <w:r>
        <w:instrText>ADDIN CSL_CITATION {"citationItems":[{"id":"ITEM-1","itemData":{"abstract":"Kebakaran hutan dan lahan yang terjadi pada tahun 2015 merupakan salah satu kebakaran terbesar di Indonesia pasca kebakaran pada tahun 1997/1998. Selama kejadian puncak pada tahun 2015 telah mengakibatkan kerugian finansial hingga Rp 221 triliun atau setara 16,1 miliar dolar AS (The World Bank, 2016). Dampak kebakaran telah menimbulkan potensi kerugian yang tidak bisa dihitung secara finansial berupa hilangnya keanekaragaman hayati, rusaknya habitat hidup satwa liar, dan perubahan ekosistem dan lingkungan. Salah satu metode Identifikasi Areal Bekas Kebakaran Hutan dan Lahan dengan teknologi penginderaan jauh adalah analisis semi otomatis. Data titik panas Citra Modis/Terra Aqua (hotspot) harian digunakan sebagai bahan awal menentukan luas areal terbakar dengan metode otomatis analisis kerapatan titik panas (point density analysis). Data hasil analisis ini selanjutnya ditumpang-susunkan dengan citra Landsat untuk proses delineasi visual areal bekas kebakaran. Hasil deliniasi areal kebakaran dijadikan dasar pengecekan lapangan untuk melakukan verifikasi terhadap hasil deliniasi areal terbakar dengan kondisi sebenarnya di lapangan. Hasil kajian menunjukkan total luas areal yang terbakar tahun 2015 adalah 2,6 juta hektar, dimana seluas 0,4 juta hektar berada pada areal berhutan. Pada tahun 2016, hasil analisis sebaran areal kebakaran hutan dan lahan menunjukkan penurunan sebesar 83%, yaitu menjadi 438.363 hektar. Penghitungan akurasi metode ini melalui cek lapangan menghasilkan nilai akurasi sebesar 85%. Identifikasi Areal Bekas Kebakaran Hutan dan Lahan dengan teknologi penginderaan jauh dapat dilakukan dengan cepat, dan akurasi yang tinggi.","author":[{"dropping-particle":"","family":"Endrawati","given":"","non-dropping-particle":"","parse-names":false,"suffix":""},{"dropping-particle":"","family":"Purwanto","given":"Judin","non-dropping-particle":"","parse-names":false,"suffix":""},{"dropping-particle":"","family":"Nugroho","given":"Sigit","non-dropping-particle":"","parse-names":false,"suffix":""},{"dropping-particle":"","family":"S","given":"Ruandha Agung","non-dropping-particle":"","parse-names":false,"suffix":""}],"container-title":"Seminar Nasional Geomatika 2017: Inovasi Teknologi Penyediaan Informasi Geospasial untuk Pembangunan Berkelanjutan","id":"ITEM-1","issued":{"date-parts":[["2016"]]},"page":"273-282","title":"Identifikasi Areal Bekas Kebakaran Hutan Dan Lahan Menggunakan Analisis Semi Otomatis Citra Satelit","type":"article-journal"},"uris":["http://www.mendeley.com/documents/?uuid=351460b9-1330-4c75-ac11-48ea120efa1f"]}],"mendeley":{"formattedCitation":"[11]","plainTextFormattedCitation":"[11]","previouslyFormattedCitation":"[12]"},"properties":{"noteIndex":0},"schema":"https://github.com/citation-style-language/schema/raw/master/csl-citation.json"}</w:instrText>
      </w:r>
      <w:r>
        <w:fldChar w:fldCharType="separate"/>
      </w:r>
      <w:r w:rsidRPr="009622A3">
        <w:rPr>
          <w:noProof/>
        </w:rPr>
        <w:t>[11]</w:t>
      </w:r>
      <w:r>
        <w:fldChar w:fldCharType="end"/>
      </w:r>
      <w:r w:rsidRPr="00426C56">
        <w:t>.</w:t>
      </w:r>
    </w:p>
    <w:p w14:paraId="7DE634AE" w14:textId="77777777" w:rsidR="002C5124" w:rsidRDefault="00000000" w:rsidP="002C5124">
      <w:pPr>
        <w:tabs>
          <w:tab w:val="left" w:pos="288"/>
        </w:tabs>
        <w:spacing w:after="120" w:line="228" w:lineRule="auto"/>
        <w:ind w:firstLine="288"/>
        <w:jc w:val="both"/>
      </w:pPr>
      <w:r w:rsidRPr="00426C56">
        <w:t xml:space="preserve">West Kalimantan is a tropical region with high air temperatures, with an average air temperature of 27.6°. The population of hotspots in the West Kalimantan region in 2019 was recorded at 4,005 points </w:t>
      </w:r>
      <w:r>
        <w:fldChar w:fldCharType="begin" w:fldLock="1"/>
      </w:r>
      <w:r>
        <w:instrText>ADDIN CSL_CITATION {"citationItems":[{"id":"ITEM-1","itemData":{"DOI":"10.29244/j-siltrop.13.03.184-190","ISSN":"2086-8227","abstract":"Forest and land fires (Karhutla) are a phenomenon that often occurs in Indonesia every year. Moreover, there are many changes in land use, such as on the islands of Sumatra and Kalimantan. For example, in Jambi, South Sumatra, West Kalimantan and Central Kalimantan. Climatic factors can affect the occurrence of forest and land fires. The purpose of this study was to determine the relationship between hotspots and rainfall on the occurrence of forest and land fires in Indonesia 2019 to 2020. This study used NASA MODIS hotspot data, administrative maps, and rainfall data from the BMKG. The results of this study indicate that rainfall is very influential on the number of hotspots, if the rainfall is low then the hotspots is high and vice versa. July to November is the dry season in 2019, while 2020 is from August to October. From the results of the P-Value correlation test, only South Kalimantan Province is below the 0.05 limit, which is 0.041. Meanwhile, from the results of the R-Person correlation test, Jambi Province has a positive notation (+). Which means that rainfall has no effect on the number of hotspots in the two provinces.\r Keywords: correlation, fire, hotspot, modis, precipitation","author":[{"dropping-particle":"","family":"Saharjo","given":"Bambang Hero","non-dropping-particle":"","parse-names":false,"suffix":""},{"dropping-particle":"","family":"Nugraha","given":"Dimas Adi","non-dropping-particle":"","parse-names":false,"suffix":""}],"container-title":"Journal of Tropical Silviculture","id":"ITEM-1","issue":"03","issued":{"date-parts":[["2022"]]},"page":"184-190","title":"Pengaruh Curah Hujan terhadap Penurunan Titik Panas (Hotspot) ti Indonesia pada Tahun 2019-2020","type":"article-journal","volume":"13"},"uris":["http://www.mendeley.com/documents/?uuid=6350907b-6d40-4dd5-900b-392f55335850"]}],"mendeley":{"formattedCitation":"[12]","plainTextFormattedCitation":"[12]","previouslyFormattedCitation":"[13]"},"properties":{"noteIndex":0},"schema":"https://github.com/citation-style-language/schema/raw/master/csl-citation.json"}</w:instrText>
      </w:r>
      <w:r>
        <w:fldChar w:fldCharType="separate"/>
      </w:r>
      <w:r w:rsidRPr="009622A3">
        <w:rPr>
          <w:noProof/>
        </w:rPr>
        <w:t>[12]</w:t>
      </w:r>
      <w:r>
        <w:fldChar w:fldCharType="end"/>
      </w:r>
      <w:r w:rsidRPr="00426C56">
        <w:t xml:space="preserve">. By this situation, the government needs effective and efficient forest and land fire prevention measures in the West Kalimantan region. One of the effective preventive measures the government can take is observing the appearance of hotspots through satellites. Hotspots that appear in forests and land can be observed through the National Aeronautics and Space Administration (NASA) satellite </w:t>
      </w:r>
      <w:r>
        <w:fldChar w:fldCharType="begin" w:fldLock="1"/>
      </w:r>
      <w:r>
        <w:instrText>ADDIN CSL_CITATION {"citationItems":[{"id":"ITEM-1","itemData":{"DOI":"10.35585/inspir.v11i2.2664","ISSN":"2088-6705","author":[{"dropping-particle":"","family":"Alkaff","given":"Muhammad","non-dropping-particle":"","parse-names":false,"suffix":""},{"dropping-particle":"","family":"Zulkarnain","given":"Andry Fajar","non-dropping-particle":"","parse-names":false,"suffix":""},{"dropping-particle":"","family":"Mustamin","given":"</w:instrText>
      </w:r>
      <w:dir w:val="ltr">
        <w:r>
          <w:instrText>Nurul Fathanah","non-dropping-particle":"","parse-names":false,"suffix":""},{"dropping-particle":"","family":"Yulianto","given":"Nandang Eko","non-dropping-particle":"","parse-names":false,"suffix":""}],"container-title":"Inspiration: Jurnal Teknologi Informasi dan Komunikasi","id":"ITEM-1","issue":"2","issued":{"date-parts":[["2021"]]},"page":"115","title":"Peramalan Jumlah Titik Api Pada Lahan Gambut Kalimantan Menggunakan Model Zero-Inflated Poisson Regression","type":"article-journal","volume":"11"},"uris":["http://www.mendeley.com/documents/?uuid=df2f9c35-0bfd-42c6-a569-b9303c783764"]}],"mendeley":{"formattedCitation":"[8]","plainTextFormattedCitation":"[8]","previouslyFormattedCitation":"[9]"},"properties":{"noteIndex":0},"schema":"https://github.com/citation-style-language/schema/raw/master/csl-citation.json"}</w:instrText>
        </w:r>
        <w:r>
          <w:fldChar w:fldCharType="separate"/>
        </w:r>
        <w:r w:rsidRPr="009622A3">
          <w:rPr>
            <w:noProof/>
          </w:rPr>
          <w:t>[8]</w:t>
        </w:r>
        <w:r>
          <w:fldChar w:fldCharType="end"/>
        </w:r>
        <w:r w:rsidRPr="00426C56">
          <w:t>. Observation via satellite allows quick knowledge of the appearance of hotspots that are detected directly. This observation can be carried out in the West Kalimantan region to respond to hotspots appearing in forests and land that cause fires before the fire spread and are challenging to overcome or extinguish.</w:t>
        </w:r>
        <w:r w:rsidR="0039542E" w:rsidRPr="00212528">
          <w:t xml:space="preserve"> </w:t>
        </w:r>
        <w:r>
          <w:t>‬</w:t>
        </w:r>
        <w:r>
          <w:t>‬</w:t>
        </w:r>
      </w:dir>
    </w:p>
    <w:p w14:paraId="037FF026" w14:textId="77777777" w:rsidR="0039542E" w:rsidRDefault="00000000" w:rsidP="002C5124">
      <w:pPr>
        <w:tabs>
          <w:tab w:val="left" w:pos="288"/>
        </w:tabs>
        <w:spacing w:after="120" w:line="228" w:lineRule="auto"/>
        <w:ind w:firstLine="288"/>
        <w:jc w:val="both"/>
      </w:pPr>
      <w:r w:rsidRPr="002C5124">
        <w:t xml:space="preserve">Several related studies based on similar problems and solutions in preventing forest and land fires, one of which is a study aimed at forecasting the number of hotspots on Kalimantan peatlands using a zero-inflated Poisson regression model based on climatic factors, namely sun exposure and rainfall. This model can map the Kalimantan region into four good areas, with the smallest RMSE value of 10.05 in area 2 </w:t>
      </w:r>
      <w:r w:rsidRPr="00212528">
        <w:fldChar w:fldCharType="begin" w:fldLock="1"/>
      </w:r>
      <w:r>
        <w:instrText>ADDIN CSL_CITATION {"citationItems":[{"id":"ITEM-1","itemData":{"DOI":"10.35585/inspir.v11i2.2664","ISSN":"2088-6705","author":[{"dropping-particle":"","family":"Alkaff","given":"Muhammad","non-dropping-particle":"","parse-names":false,"suffix":""},{"dropping-particle":"","family":"Zulkarnain","given":"Andry Fajar","non-dropping-particle":"","parse-names":false,"suffix":""},{"dropping-particle":"","family":"Mustamin","given":"</w:instrText>
      </w:r>
      <w:dir w:val="ltr">
        <w:r>
          <w:instrText>Nurul Fathanah","non-dropping-particle":"","parse-names":false,"suffix":""},{"dropping-particle":"","family":"Yulianto","given":"Nandang Eko","non-dropping-particle":"","parse-names":false,"suffix":""}],"container-title":"Inspiration: Jurnal Teknologi Informasi dan Komunikasi","id":"ITEM-1","issue":"2","issued":{"date-parts":[["2021"]]},"page":"115","title":"Peramalan Jumlah Titik Api Pada Lahan Gambut Kalimantan Menggunakan Model Zero-Inflated Poisson Regression","type":"article-journal","volume":"11"},"uris":["http://www.mendeley.com/documents/?uuid=df2f9c35-0bfd-42c6-a569-b9303c783764"]}],"mendeley":{"formattedCitation":"[8]","plainTextFormattedCitation":"[8]","previouslyFormattedCitation":"[9]"},"properties":{"noteIndex":0},"schema":"https://github.com/citation-style-language/schema/raw/master/csl-citation.json"}</w:instrText>
        </w:r>
        <w:r w:rsidRPr="00212528">
          <w:fldChar w:fldCharType="separate"/>
        </w:r>
        <w:r w:rsidRPr="009622A3">
          <w:rPr>
            <w:noProof/>
          </w:rPr>
          <w:t>[8]</w:t>
        </w:r>
        <w:r w:rsidRPr="00212528">
          <w:fldChar w:fldCharType="end"/>
        </w:r>
        <w:r w:rsidRPr="002C5124">
          <w:t xml:space="preserve">. Another study used multiple regression models to predict hotspots in the Southern Southeast Asia region with several significant predictors. The results of this study successfully indicated the highest area in Southern Southeast Asia with an RMSE of 11.3 </w:t>
        </w:r>
        <w:r w:rsidRPr="00212528">
          <w:fldChar w:fldCharType="begin" w:fldLock="1"/>
        </w:r>
        <w:r>
          <w:instrText>ADDIN CSL_CITATION {"citationItems":[{"id":"ITEM-1","itemData":{"DOI":"10.20956/geocelebes.v5i2.13454","ISSN":"2579-5821","abstract":"Penelitian ini bertujuan untuk membuat pemodelan prediksi titik panas (hotspot) di wilayah Asia Tenggara bagian Selatan dengan sejumlah prediktor signifikan menggunakan Model Multiple Regression (MR) dan untuk melakukan verifikasi prediksi model tersebut. Data yang digunakan dalam penelitian ini yaitu data observasi titik panas (hotspot) di Wilayah Indonesia yakni di Pulau Kalimantan dan Sumatera dan di Wilayah Semenanjung Malaysia serta Sabah-Sarawak. Kemudian data indeks El Nino Southern Oscillation (ENSO), Madden-Julian Oscillation (MJO), Indian Ocean Dipole (IOD) dan Monsun selama 6 tahun mulai dari tahun 2013 hingga 2018 sebagai data prediktor. Metode yang digunakan yaitu Model Multiple Regression dengan Metode Regresi Stepwise dan verifikasi skill model prediksi yang digunakan yaitu Korelasi Pearson dan RMSE. Berdasarkan hasil pemodelan dan verifikasi prediksi terbaiknya, diperoleh nilai Korelasi Pearson sebesar 0,698 dan nilai RMSE-nya sebanyak 908 hotspot. Untuk model prediksi di wilayah Sumatera oleh 7 prediktor signifikan yang terkait dengan kejadian hotspot yaitu, IOD 0 (IOD pada bulan munculnya hotspot), MJO 0, MJO 9, MJO 10, Mons 1, MJO 8, dan MJO 5. Untuk wilayah Kalimantan nilai Korelasi Pearson sebesar 0,795 dan nilai RMSE-nya sebanyak 1150 hotspot oleh 4 prediktor signifikan, MJO 9 (MJO pada 9 bulan sebelum munculnya hotspot), Mons 1, Mons 0, dan ENSO 3. Untuk wilayah Semenanjung Malaysia diperoleh nilai Korelasi Pearson sebesar 0,145 dan nilai RMSE-nya sebanyak 135 hotspot oleh 2 prediktor signifikan, Mons 2 (Mons pada 2 bulan sebelum munculnya hotspot) dan MJO 0. Kemudian untuk wilayah Sabah dan Sarawak diperoleh nilai Korelasi Pearson sebesar 0,242 dan nilai RMSE-nya sebanyak 113 hotspot oleh 2 prediktor signifikan, IOD 2 (IOD pada 2 bulan sebelum munculnya hotspot) dan MJO 0. Untuk wilayah Sumatera prediktor yang paling berpengaruh yaitu IOD 0, yakni fenomena IOD khususnya fenomena IOD (+) penyebab terjadinya musim kering ini beberapa kali terjadi di wilayah Pulau Sumatera karena letaknya berdekatan langsung dengan Samudera Hindia sehingga iklimnya juga dipengaruhi oleh lautan di dekatnya. Untuk fenomena MJO dan Monsun yang paling berpengaruh di Wilayah Kalimantan (MJO 9), Semenanjung Malaysia (Mons 2) serta Sabah - Sarawak (MJO 0). Kedua fenomena tersebut secara periodik selalu melintas di ketiga wilayah tadi khususnya berkontribusi pada bulan-bulan terjadinya musim kering, sehingga diindikasikan dapat mempengaruhi munculnya hotspot.","author":[{"dropping-particle":"","family":"Santriwati","given":"Santriwati","non-dropping-particle":"","parse-names":false,"suffix":""},{"dropping-particle":"","family":"Halide","given":"Halmar","non-dropping-particle":"","parse-names":false,"suffix":""},{"dropping-particle":"","family":"Hasanuddin","given":"Hasanuddin","non-dropping-particle":"","parse-names":false,"suffix":""}],"container-title":"Jurnal Geocelebes","id":"ITEM-1","issue":"2","issued":{"date-parts":[["2021"]]},"page":"116-130","title":"Faktor Osean – Atmosfer untuk Memprediksi Titik Panas (Hostspot) di Wilayah Asia Tenggara Bagian Selatan","type":"article-journal","volume":"5"},"uris":["http://www.mendeley.com/documents/?uuid=bc2cc4b4-6c9e-4d3a-9612-6a54bc08dafb"]}],"mendeley":{"formattedCitation":"[9]","plainTextFormattedCitation":"[9]","previouslyFormattedCitation":"[10]"},"properties":{"noteIndex":0},"schema":"https://github.com/citation-style-language/schema/raw/master/csl-citation.json"}</w:instrText>
        </w:r>
        <w:r w:rsidRPr="00212528">
          <w:fldChar w:fldCharType="separate"/>
        </w:r>
        <w:r w:rsidRPr="009622A3">
          <w:rPr>
            <w:noProof/>
          </w:rPr>
          <w:t>[9]</w:t>
        </w:r>
        <w:r w:rsidRPr="00212528">
          <w:fldChar w:fldCharType="end"/>
        </w:r>
        <w:r w:rsidRPr="002C5124">
          <w:t>.</w:t>
        </w:r>
        <w:r>
          <w:t>‬</w:t>
        </w:r>
        <w:r>
          <w:t>‬</w:t>
        </w:r>
      </w:dir>
    </w:p>
    <w:p w14:paraId="5E2C9BDF" w14:textId="77777777" w:rsidR="00FB2475" w:rsidRDefault="00000000" w:rsidP="002C5124">
      <w:pPr>
        <w:tabs>
          <w:tab w:val="left" w:pos="288"/>
        </w:tabs>
        <w:spacing w:after="120" w:line="228" w:lineRule="auto"/>
        <w:ind w:firstLine="288"/>
        <w:jc w:val="both"/>
      </w:pPr>
      <w:r w:rsidRPr="002C5124">
        <w:t xml:space="preserve">Different from the previous research, another study aims to predict the occurrence of hotspots in peatlands in Riau province using long- and short-term memory. The research made predictions for the next six months, from August 2019 to January 2020. LSTM can predict time series with an RMSE value of 363.38 </w:t>
      </w:r>
      <w:r w:rsidRPr="00212528">
        <w:fldChar w:fldCharType="begin" w:fldLock="1"/>
      </w:r>
      <w:r>
        <w:instrText>ADDIN CSL_CITATION {"citationItems":[{"id":"ITEM-1","itemData":{"ISSN":"2548-9356","abstract":"Indonesia is blessed with the largest and most diverse tropical forests in the world. Millions of Indonesians depend on these forests for their lives. But lately forest fires have become an international concern as an environmental and economic issue. One of the causes of the decline in the number of forests is forest fires. Forest fires produce high particle emissions which can endanger human health. For this reason, necessary precautions. One prevention that can be done is to predict the emergence of hotspots, especially in areas where forest fires are frequent. One way to reduce forest fires is to predict the emergence of hot spots on peatlands with the Long Short Term Memory (LSTM) method. This study predicts the emergence of hotspots in Riau Province over the next 6 months, from August 2019 to January 2020. LSTM is able to predict time series with RMSE 363.38.","author":[{"dropping-particle":"","family":"Khaira","given":"Ulfa","non-dropping-particle":"","parse-names":false,"suffix":""},{"dropping-particle":"","family":"Alfalah","given":"Muksin","non-dropping-particle":"","parse-names":false,"suffix":""},{"dropping-particle":"","family":"Gulo","given":"Pikir Claudia Septiani","non-dropping-particle":"","parse-names":false,"suffix":""},{"dropping-particle":"","family":"Purnomo","given":"Robi","non-dropping-particle":"","parse-names":false,"suffix":""}],"container-title":"Jurnal Informatika: Jurnal Pengembangan IT","id":"ITEM-1","issue":"3","issued":{"date-parts":[["2020"]]},"page":"77-82","title":"Prediksi Kemunculan Titik Panas Di Lahan Gambut Provinsi Riau Menggunakan Long Short Term Memory","type":"article-journal","volume":"5"},"uris":["http://www.mendeley.com/documents/?uuid=66fcd321-4569-4503-b5b2-bf47d252a0d3"]}],"mendeley":{"formattedCitation":"[13]","plainTextFormattedCitation":"[13]","previouslyFormattedCitation":"[14]"},"properties":{"noteIndex":0},"schema":"https://github.com/citation-style-language/schema/raw/master/csl-citation.json"}</w:instrText>
      </w:r>
      <w:r w:rsidRPr="00212528">
        <w:fldChar w:fldCharType="separate"/>
      </w:r>
      <w:r w:rsidRPr="009622A3">
        <w:rPr>
          <w:noProof/>
        </w:rPr>
        <w:t>[13]</w:t>
      </w:r>
      <w:r w:rsidRPr="00212528">
        <w:fldChar w:fldCharType="end"/>
      </w:r>
      <w:r w:rsidRPr="002C5124">
        <w:t xml:space="preserve">. The research aimed at predicting the number of occurrences of hotspots was also carried out in the Rokan Hilir district using the Elman recurrent neural network, with the results of the research producing a constant actual value with the prediction results, namely the RMSE value of 437.603 </w:t>
      </w:r>
      <w:r w:rsidRPr="00212528">
        <w:fldChar w:fldCharType="begin" w:fldLock="1"/>
      </w:r>
      <w:r>
        <w:instrText>ADDIN CSL_CITATION {"citationItems":[{"id":"ITEM-1","itemData":{"abstract":"… Kebakaran hutan dapat terjadi karena dua faktor utama, yaitu faktor alam dan manusia Faktor alam terjadinya kebakaran … cara untuk mengantisipasi adanya kebakaran hutan di wilayah …","author":[{"dropping-particle":"","family":"Maulida","given":"W","non-dropping-particle":"","parse-names":false,"suffix":""}],"id":"ITEM-1","issued":{"date-parts":[["2018"]]},"title":"Model Prediksi Jumlah Kemunculan Titik Panas di Kabupaten Rokan Hilir Menggunakan Elman Recurrent Neural Network","type":"article-journal"},"uris":["http://www.mendeley.com/documents/?uuid=e86970fb-8f1e-4a18-95e4-0c95388b43fa"]}],"mendeley":{"formattedCitation":"[14]","plainTextFormattedCitation":"[14]","previouslyFormattedCitation":"[15]"},"properties":{"noteIndex":0},"schema":"https://github.com/citation-style-language/schema/raw/master/csl-citation.json"}</w:instrText>
      </w:r>
      <w:r w:rsidRPr="00212528">
        <w:fldChar w:fldCharType="separate"/>
      </w:r>
      <w:r w:rsidRPr="009622A3">
        <w:rPr>
          <w:noProof/>
        </w:rPr>
        <w:t>[14]</w:t>
      </w:r>
      <w:r w:rsidRPr="00212528">
        <w:fldChar w:fldCharType="end"/>
      </w:r>
      <w:r w:rsidRPr="002C5124">
        <w:t xml:space="preserve">. Furthermore, a similar study was conducted to predict the number of hotspot events through a time series approach using the seasonal arima model using the NASA MODIS satellite data. The research produced an excellent prediction model with an RMSE value of 5.85 </w:t>
      </w:r>
      <w:r w:rsidRPr="00212528">
        <w:fldChar w:fldCharType="begin" w:fldLock="1"/>
      </w:r>
      <w:r>
        <w:instrText>ADDIN CSL_CITATION {"citationItems":[{"id":"ITEM-1","itemData":{"DOI":"10.31961/eltikom.v3i2.122","ISSN":"2598-3245","abstract":"Kebakaran hutan merupakan permasalahan yang hampir setiap tahun terjadi di Indonesia terutama di pulau Sumatera dan Kalimantan. Umumnya kejadian kebakaran hutan di Indonesia terjadi pada lahan gambut, hal ini dikarenakan pada musim kemarau, lahan gambut akan menjadi sangat kering sampai kedalaman tertentu sehingga akan mudah terbakar. Upaya menanggulangi kebakaran hutan telah dilakukan melalui pemantauan titik api melalui satelit, hal ini telah dilakukan oleh NASA (National Aeronautics and Space Administration) dengan satelit Terra dan Aqua melalui instrument MODIS (Moderate Resolution Imaging Spectroradiometer). Data yang didapatkan dari satelit tersebut mulai dari tahun 2001 sampai dengan 2018 kemudian diproses menjadi jumlah kejadian titik api perbulan yang selanjutnya dianalisa dengan pendekatan deret waktu menggunakan model Seasonal ARIMA (Auto Regressive Integrated Moving Average). Hal ini dilakukan untuk mengetahui korelasi jumlah kejadian titik api yang terjadi dengan jumlah kejadian titik api pada waktu sebelumnya. Hasil pengujian menunjukkan bahwa model ARIMA (1,0,1)x(1,0,1,12) adalah model terbaik untuk melakukan prediksi jumlah titik api dengan nilai RMSE sebesar 5.85.","author":[{"dropping-particle":"","family":"Alkaff","given":"Muhammad","non-dropping-particle":"","parse-names":false,"suffix":""},{"dropping-particle":"","family":"Yulianto","given":"Nandang Eko","non-dropping-particle":"","parse-names":false,"suffix":""}],"container-title":"Jurnal ELTIKOM","id":"ITEM-1","issue":"2","issued":{"date-parts":[["2019"]]},"page":"54-63","title":"Prediksi Jumlah Kejadian Titik Api Melalui Pendekatan Deret Waktu Menggunakan Model Seasonal Arima","type":"article-journal","volume":"3"},"uris":["http://www.mendeley.com/documents/?uuid=be9511d2-5377-4816-ba9b-232877c8a09b"]}],"mendeley":{"formattedCitation":"[15]","plainTextFormattedCitation":"[15]","previouslyFormattedCitation":"[16]"},"properties":{"noteIndex":0},"schema":"https://github.com/citation-style-language/schema/raw/master/csl-citation.json"}</w:instrText>
      </w:r>
      <w:r w:rsidRPr="00212528">
        <w:fldChar w:fldCharType="separate"/>
      </w:r>
      <w:r w:rsidRPr="009622A3">
        <w:rPr>
          <w:noProof/>
        </w:rPr>
        <w:t>[15]</w:t>
      </w:r>
      <w:r w:rsidRPr="00212528">
        <w:fldChar w:fldCharType="end"/>
      </w:r>
      <w:r>
        <w:t>.</w:t>
      </w:r>
    </w:p>
    <w:p w14:paraId="7064B172" w14:textId="77777777" w:rsidR="00FB2475" w:rsidRDefault="00000000" w:rsidP="00C95F47">
      <w:pPr>
        <w:tabs>
          <w:tab w:val="left" w:pos="288"/>
        </w:tabs>
        <w:spacing w:after="120" w:line="228" w:lineRule="auto"/>
        <w:ind w:firstLine="288"/>
        <w:jc w:val="both"/>
      </w:pPr>
      <w:r w:rsidRPr="002C5124">
        <w:t xml:space="preserve">Another method in prediction techniques (time series) is the Autoregressive Integrated Moving Average (ARIMA) model. The ARIMA model is a model that completely ignores independent variables in forecasting </w:t>
      </w:r>
      <w:r>
        <w:fldChar w:fldCharType="begin" w:fldLock="1"/>
      </w:r>
      <w:r>
        <w:instrText>ADDIN CSL_CITATION {"citationItems":[{"id":"ITEM-1","itemData":{"DOI":"10.12962/j27213862.v5i1.12469","ISSN":"0216-308X","abstract":"… ketiga unsur ini bisa dimodifikasi sehingga membentuk model baru, misalnya model autoregresif dan moving average (ARMA). Bentuk umum model peramalan ini adalah ARIMA (p,d,q…","author":[{"dropping-particle":"","family":"Mahayana","given":"Ida Bagus Bayu","non-dropping-particle":"","parse-names":false,"suffix":""},{"dropping-particle":"","family":"Mulyadi","given":"Indrawan","non-dropping-particle":"","parse-names":false,"suffix":""},{"dropping-particle":"","family":"Soraya","given":"Siti","non-dropping-particle":"","parse-names":false,"suffix":""}],"container-title":"Inferensi","id":"ITEM-1","issue":"1","issued":{"date-parts":[["2022"]]},"page":"45","title":"Peramalan Penjualan Helm dengan Metode ARIMA (Studi Kasus Bagus Store)","type":"article-journal","volume":"5"},"uris":["http://www.mendeley.com/documents/?uuid=b1fe8705-97fc-42f4-92cf-e770a2237ec3"]}],"mendeley":{"formattedCitation":"[16]","plainTextFormattedCitation":"[16]","previouslyFormattedCitation":"[17]"},"properties":{"noteIndex":0},"schema":"https://github.com/citation-style-language/schema/raw/master/csl-citation.json"}</w:instrText>
      </w:r>
      <w:r>
        <w:fldChar w:fldCharType="separate"/>
      </w:r>
      <w:r w:rsidRPr="009622A3">
        <w:rPr>
          <w:noProof/>
        </w:rPr>
        <w:t>[16]</w:t>
      </w:r>
      <w:r>
        <w:fldChar w:fldCharType="end"/>
      </w:r>
      <w:r w:rsidRPr="002C5124">
        <w:t xml:space="preserve">. ARIMA aims to determine an excellent statistical relationship between the predicted variable and the historical value of the variable so that </w:t>
      </w:r>
      <w:r w:rsidRPr="002C5124">
        <w:t xml:space="preserve">forecasting can be done with the model </w:t>
      </w:r>
      <w:r>
        <w:fldChar w:fldCharType="begin" w:fldLock="1"/>
      </w:r>
      <w:r>
        <w:instrText>ADDIN CSL_CITATION {"citationItems":[{"id":"ITEM-1","itemData":{"abstract":"Peramalan merupakan tahapan awal dalam kegiatan perencanaan produksi yang fungsinya\nadalah sebagai dasar dalam merencanakan kegiatan produksi selanjutnya. Kehandalan\nsebuah metode peramalan ditentukan dengan menghitung nilai simpangan (error) hasil\nperamalan dengan nilai sebenarnya. Metode ARIMA (Autoregressive Integrated Moving\nAverage) merupakan salah satu metode peramalan jangka menengah yang menghasilkan\nnilai ramalan yang cukup baik dibandingkan dengan metode lainnya. Penelitian ini\nbertujuan untuk membuktikan asumsi di atas dan juga untuk menentukan nilai peramalan\nperiode selanjutnya dengan objek yang dijadikan sebagai studi kasus adalah PT MK yang\nmemproduksi teh hijau. Data yang digunakan adalah data periode Januari 2012 sampai\ndengan Desember 2016, dengan software Minitab sebagai alat bantu perhitungan. Hasil\npenelitian menunjukkan bahwasanya model yang tepat dalam meramalkan penjualan di PT\nMK adalah model ARIMA (2,2,4). Perbandingan nilai error model ARIMA (2,2,4)\ndilakukan dengan metode peramalan lainnya yaitu Metode Trend Linier dan Kuadratis.\nHasil perbandingan juga menunjukkan bahwasanya metode ARIMA masih yang terbaik.\nHasil peramalan juga menghasilkan nilai peramalan untuk periode satu tahun berikutnya.","author":[{"dropping-particle":"","family":"Zulhamidi","given":"","non-dropping-particle":"","parse-names":false,"suffix":""},{"dropping-particle":"","family":"Hardianto","given":"Riski","non-dropping-particle":"","parse-names":false,"suffix":""}],"container-title":"Jurnal PASTI","id":"ITEM-1","issue":"3","issued":{"date-parts":[["2017"]]},"page":"231-244","title":"Peramalan Penjualan Teh Hijau Dengan Metode Arima (Studi Kasus Pada Pt. Mk)","type":"article-journal","volume":"XI"},"uris":["http://www.mendeley.com/documents/?uuid=61f00c6e-c6bf-4860-883c-9fc919eb9343"]}],"mendeley":{"formattedCitation":"[17]","plainTextFormattedCitation":"[17]","previouslyFormattedCitation":"[18]"},"properties":{"noteIndex":0},"schema":"https://github.com/citation-style-language/schema/raw/master/csl-citation.json"}</w:instrText>
      </w:r>
      <w:r>
        <w:fldChar w:fldCharType="separate"/>
      </w:r>
      <w:r w:rsidRPr="009622A3">
        <w:rPr>
          <w:noProof/>
        </w:rPr>
        <w:t>[17]</w:t>
      </w:r>
      <w:r>
        <w:fldChar w:fldCharType="end"/>
      </w:r>
      <w:r w:rsidRPr="002C5124">
        <w:t xml:space="preserve">. Furthermore, the ARIMA model was developed into the Seasonal Autoregressive Integrated Moving Average (SARIMA) model. SARIMA is the development of the ARIMA model, which can analyze recurring or seasonal data patterns when time is fixed, such as quarterly, semi-annually and annually. This prediction model aims to determine a relationship between predicted variables through data on the historical value of these variables so that predictions can be made </w:t>
      </w:r>
      <w:r>
        <w:fldChar w:fldCharType="begin" w:fldLock="1"/>
      </w:r>
      <w:r>
        <w:instrText>ADDIN CSL_CITATION {"citationItems":[{"id":"ITEM-1","itemData":{"DOI":"10.24014/jsms.v7i2.13168","ISSN":"2460-4542","abstract":"Inflation is an overall and sustainable increase in the price of goods or services, which causes a decrease in the rupiah exchange rate and affects the purchasing power of raw materials or the industry in which these materials are imported. This of course can be a threat and is characterized by a financial phenomenon that describes excessive and unstable financial growth. The effort that can be obtained in dealing with this problem is the inflation forecast in Indonesia. This study aims to obtain a monthly inflation forecast model in Indonesia and find out when to increase the forecast in the form of adaptation efforts to stabilize inflation. The data used is monthly inflation data for the period January 2003 to November 2020. The method used in this study is the SARIMA model which is an evolution of the ARIMA model which can be adjusted to the seasonal inflation data model. Based on the few months there will be an increase in the inflation rate according to the model that has been made. Based on this, this research is expected to be a reference for the government in determining anticipatory steps for the occurrence of problems in the economy. processing results, the best model with the lowest AIC value was obtained, SARIMA (1,0,1)(1,1,1)12 with a value of MAPE 5.19%. The prediction results show that in the next","author":[{"dropping-particle":"","family":"Rizki","given":"Muhammad Irfan","non-dropping-particle":"","parse-names":false,"suffix":""},{"dropping-particle":"","family":"Taqiyyuddin","given":"Teguh Ammar","non-dropping-particle":"","parse-names":false,"suffix":""}],"container-title":"Jurnal Sains Matematika dan Statistika","id":"ITEM-1","issue":"2","issued":{"date-parts":[["2021"]]},"page":"62-72","title":"Penerapan Model SARIMA untuk Memprediksi Tingkat Inflasi di Indonesia","type":"article-journal","volume":"7"},"uris":["http://www.mendeley.com/documents/?uuid=800d578b-c30b-4a4d-ba66-20f425e812e5"]}],"mendeley":{"formattedCitation":"[18]","plainTextFormattedCitation":"[18]","previouslyFormattedCitation":"[20]"},"properties":{"noteIndex":0},"schema":"https://github.com/citation-style-language/schema/raw/master/csl-citation.json"}</w:instrText>
      </w:r>
      <w:r>
        <w:fldChar w:fldCharType="separate"/>
      </w:r>
      <w:r w:rsidRPr="009622A3">
        <w:rPr>
          <w:noProof/>
        </w:rPr>
        <w:t>[18]</w:t>
      </w:r>
      <w:r>
        <w:fldChar w:fldCharType="end"/>
      </w:r>
      <w:r w:rsidRPr="002C5124">
        <w:t>.</w:t>
      </w:r>
    </w:p>
    <w:p w14:paraId="61F850C8" w14:textId="77777777" w:rsidR="00C95F47" w:rsidRDefault="00000000">
      <w:pPr>
        <w:tabs>
          <w:tab w:val="left" w:pos="288"/>
        </w:tabs>
        <w:spacing w:after="120" w:line="228" w:lineRule="auto"/>
        <w:ind w:firstLine="288"/>
        <w:jc w:val="both"/>
      </w:pPr>
      <w:r w:rsidRPr="00C95F47">
        <w:t>Based on the previous problems and some related research that has been mentioned, this research aims to build a prediction model for the number of forest and land fire hotspot occurrences in the West Kalimantan region using the ARIMA and SARIMA methods using data from the early detection information system for forest and land fire control (Sipongi) from 2013 to 2022.</w:t>
      </w:r>
    </w:p>
    <w:p w14:paraId="0E3FF7EE" w14:textId="77777777" w:rsidR="00CE471C" w:rsidRDefault="00000000">
      <w:pPr>
        <w:pStyle w:val="Heading1"/>
        <w:numPr>
          <w:ilvl w:val="0"/>
          <w:numId w:val="1"/>
        </w:numPr>
      </w:pPr>
      <w:r>
        <w:t>Literature Review</w:t>
      </w:r>
    </w:p>
    <w:p w14:paraId="47170ED2" w14:textId="77777777" w:rsidR="00914DE2" w:rsidRDefault="00000000" w:rsidP="00C95F47">
      <w:pPr>
        <w:pStyle w:val="Heading2"/>
        <w:numPr>
          <w:ilvl w:val="1"/>
          <w:numId w:val="2"/>
        </w:numPr>
      </w:pPr>
      <w:r w:rsidRPr="00C95F47">
        <w:t>Forest and Land Fires</w:t>
      </w:r>
    </w:p>
    <w:p w14:paraId="5AA07251" w14:textId="77777777" w:rsidR="00C95F47" w:rsidRDefault="00000000" w:rsidP="00240F75">
      <w:pPr>
        <w:tabs>
          <w:tab w:val="left" w:pos="288"/>
        </w:tabs>
        <w:spacing w:after="120" w:line="228" w:lineRule="auto"/>
        <w:ind w:firstLine="288"/>
        <w:jc w:val="both"/>
      </w:pPr>
      <w:r w:rsidRPr="00C95F47">
        <w:t xml:space="preserve">Forest fires are one of the environmental problems that threaten forests, causing adverse environmental impacts, creating economic problems, and ecological damage </w:t>
      </w:r>
      <w:r>
        <w:fldChar w:fldCharType="begin" w:fldLock="1"/>
      </w:r>
      <w:r>
        <w:instrText>ADDIN CSL_CITATION {"citationItems":[{"id":"ITEM-1","itemData":{"abstract":"Kebakaran hutan merupakan salah satu masalah lingkungan yang mengancam hutan, menimbulkan dampak negatif pada lingkungan, menciptakan masalah ekonomi, dan kerusakan ekologis, serta menyebabkan kerugian penting di seluruh dunia setiap tahunnya. Estimasi area yang terbakar penting dilakukan, karena area yang terbakar dapat mencerminkan berapa kuat radiasi api pada vegetasi disekitarnya. SVM dapat mengatasi masalah klasifikasi dan regresi linier ataupun nonlinier kernel yang dapat menjadi satu kemampuan algoritma pembelajaran untuk klasifikasi serta regresi. Namun, SVM juga memiliki kelemahan yaitu sulitnya menentukan nilai parameter yang optimal. Untuk menyelesaikan permasalahan tersebut algoritma genetika diusulkan untuk diterapkan sebagai algoritma pencarian nilai parameter yang efisien pada SVM. Beberapa eksperimen dilakukan untuk menghasilkan estimasi yang akurat. Awalnya percobaan dilakukan pada kernel –kernel SVM (dot, RBF, polynomial) untuk menentukan kernel mana yang akan digunakan, kemudian model SVM+GA juga dibandingkan dengan model regresi lainnya seperti Linear Regression, k-NN, dan Neural Network. Berdasarkan eksperimen dengan 10 kombinasi parameter pada metode SVM dan SVM+GA dengan kernel dot, RMSE terkecil dihasilkan oleh model SVM+GA sebesar 1.379, sementara pada percobaan SVM dan SVM+GA dengan kernel polynomial RMSE terkecil diperoleh model SVM+GA sebesar 1.379, sedangkan pada percobaan SVM dan SVM+GA dengan kernel RBF diperoleh RMSE terkecil pada model SVM+GA sebesar 1.379.Selanjutnya berdasarkan perbandingan rata-rata RMSE, kernel RBF unggul dengan nilai RMSE terkecil yaitu 1.432 pada SVM, dan 1.418 pada SVM+GA. Pada perbandingan nilai rata-rata RMSE antara SVM(RBF)+GA dengan model lainnya, RMSE terkecil dihasilkan oleh SVM(RBF)+GA yaitu sebesar 1.418, disusul dengan model SVM(RBF) sebesar 1.432, keudian Linear Regression sebesar 1.459, dilanjutkan oleh model k-NN sebesar 1.526 dan yang terakhir adalah NN dengan nilai RMSE sebesar 1.559. maka dapat disimpulkan bahwa optimasi parameter yang dilakukan GA pada model SVM terbukti dapat mengurangi tingkat error pada model SVM tanpa optimasi parameter pada dataset forestfire, selain model SVM(RBF)+GA pada penelitian ini juga terbukti lebih baik dari model regresi lainnya.","author":[{"dropping-particle":"","family":"Harafani","given":"Hani","non-dropping-particle":"","parse-names":false,"suffix":""},{"dropping-particle":"","family":"Wahono","given":"Romi Satria","non-dropping-particle":"","parse-names":false,"suffix":""}],"container-title":"Journal of Intelligent Systems","id":"ITEM-1","issue":"2","issued":{"date-parts":[["2015"]]},"page":"82-90","title":"Optimasi Parameter pada Support Vector Machine Berbasis Algoritma Genetika untuk Estimasi Kebakaran Hutan","type":"article-journal","volume":"1"},"uris":["http://www.mendeley.com/documents/?uuid=f2e84bca-5284-4e9e-89a6-15eb8c12950f"]}],"mendeley":{"formattedCitation":"[19]","plainTextFormattedCitation":"[19]","previouslyFormattedCitation":"[21]"},"properties":{"noteIndex":0},"schema":"https://github.com/citation-style-language/schema/raw/master/csl-citation.json"}</w:instrText>
      </w:r>
      <w:r>
        <w:fldChar w:fldCharType="separate"/>
      </w:r>
      <w:r w:rsidRPr="009622A3">
        <w:rPr>
          <w:noProof/>
        </w:rPr>
        <w:t>[19]</w:t>
      </w:r>
      <w:r>
        <w:fldChar w:fldCharType="end"/>
      </w:r>
      <w:r w:rsidRPr="00C95F47">
        <w:t xml:space="preserve">. Forest fires are burning events that spread freely in unplanned areas and use natural fuels from the forest, such as litter, grass, twigs or dead tree branches </w:t>
      </w:r>
      <w:r>
        <w:fldChar w:fldCharType="begin" w:fldLock="1"/>
      </w:r>
      <w:r>
        <w:instrText>ADDIN CSL_CITATION {"citationItems":[{"id":"ITEM-1","itemData":{"ISSN":"2807-3282","abstract":"One of the provinces in Indonesia that experiences forest and land fires every year is Aceh Province. Aceh Barat District is one of the districts in Aceh Province where forest and land fires occur every dry season. Forest and land fires prevention can be done by utilizing hotspot data for analysis using geographic information systems (GIS). This research aims to analyze the distribution of hotspots and the correlation between rainfall and hotspots as an indicator of the occurrence of forest and land fires in West Aceh Regency in 2014-2019. This research uses MODIS LAPAN hotspots data, land cover distribution maps, peat land distribution maps, administrative maps and rainfall data from BMKG. The correlation between rainfall data and hotspot data was carried out by the bivariate pearson correlation test. The resuls of the research found that there were 576 hotspots in West Aceh Regency from 2014-2019. The district with the highest number of hotspots is in Samatiga District, namely 131 hotspots. The most dominant hotspots are in the peatland cover, as much as 64% and in the swamp scrub land cover area with 126 hotspots. Correlation test results show that rainfall with a negative correlation, that the decrease in rainfall is followed by an increase in hotspots.","author":[{"dropping-particle":"","family":"Saharjo","given":"Bambang Hero","non-dropping-particle":"","parse-names":false,"suffix":""},{"dropping-particle":"","family":"Nasution","given":"Muhammad Rizki Ananda","non-dropping-particle":"","parse-names":false,"suffix":""}],"container-title":"Jurnal Silvikultur Tropika","id":"ITEM-1","issue":"2","issued":{"date-parts":[["2021"]]},"page":"60-66","title":"Pola Sebaran Titik Panas (Hotspot) Sebagai Indikator Terjadinya Kebakaran Hutan Dan Lahan Di Kabupaten Aceh Barat","type":"article-journal","volume":"12"},"uris":["http://www.mendeley.com/documents/?uuid=6dcb9808-f896-4758-b095-47d3ba380da1"]}],"mendeley":{"formattedCitation":"[20]","plainTextFormattedCitation":"[20]","previouslyFormattedCitation":"[22]"},"properties":{"noteIndex":0},"schema":"https://github.com/citation-style-language/schema/raw/master/csl-citation.json"}</w:instrText>
      </w:r>
      <w:r>
        <w:fldChar w:fldCharType="separate"/>
      </w:r>
      <w:r w:rsidRPr="009622A3">
        <w:rPr>
          <w:noProof/>
        </w:rPr>
        <w:t>[20]</w:t>
      </w:r>
      <w:r>
        <w:fldChar w:fldCharType="end"/>
      </w:r>
      <w:r w:rsidRPr="00C95F47">
        <w:t>.</w:t>
      </w:r>
    </w:p>
    <w:p w14:paraId="584E7A12" w14:textId="77777777" w:rsidR="00914DE2" w:rsidRDefault="00000000" w:rsidP="00DE7DBC">
      <w:pPr>
        <w:pStyle w:val="Heading2"/>
        <w:numPr>
          <w:ilvl w:val="1"/>
          <w:numId w:val="2"/>
        </w:numPr>
      </w:pPr>
      <w:r>
        <w:t>Hotspot</w:t>
      </w:r>
      <w:r w:rsidR="00DE7DBC">
        <w:t>.</w:t>
      </w:r>
    </w:p>
    <w:p w14:paraId="55ADECEA" w14:textId="77777777" w:rsidR="00DE7DBC" w:rsidRDefault="00000000" w:rsidP="00DE7DBC">
      <w:pPr>
        <w:tabs>
          <w:tab w:val="left" w:pos="288"/>
        </w:tabs>
        <w:spacing w:after="120" w:line="228" w:lineRule="auto"/>
        <w:ind w:firstLine="288"/>
        <w:jc w:val="both"/>
      </w:pPr>
      <w:r w:rsidRPr="00DE7DBC">
        <w:t xml:space="preserve">Hotspots are indicators of forest fires that detect an area with a relatively higher temperature than the surrounding temperature </w:t>
      </w:r>
      <w:r>
        <w:fldChar w:fldCharType="begin" w:fldLock="1"/>
      </w:r>
      <w:r>
        <w:instrText>ADDIN CSL_CITATION {"citationItems":[{"id":"ITEM-1","itemData":{"DOI":"10.26418/justin.v9i2.42823","ISSN":"2460-3562","abstract":"Kebakaran hutan dan lahan yang terjadi di Indonesia telah menimbulkan banyak kerugian bagi masyarakat. Kebakaran hutan umumnya terjadi pada bulan Agustus dan September, bertepatan dengan musim kemarau pada sebagian besar wilayah Indonesia. Salah satu indikator terjadinya kebakaran hutan adalah titik panas. Penelitian ini menggunakan salah satu teknik data mining yaitu mengklasifikasi titik panas yang ada di Provinsi Riau. Penelitian ini menggunakan dataset kebakaran hutan Kabupaten Pelalawan pada tahun 2015 sampai 2019 dengan menggunakan algoritma Naïve Bayes. Titik panas yang akan dianalisis terdiri dari suhu, kelembaban, curah hujan, kecepatangan angin, dan kelas. Akurasi tertinggi dari dataset kebakaran hutan dan lahan pada tahun 2019 adalah sebesar 96.95%. Metode klasiﬁkasi menggunakan algoritma Naïve Bayes dapat digunakan untuk memprediksi kemunculan titik panas di masa yang akan datang sehingga dapat melakukan tindakan pencegahan sebelum terjadinya kebakaran hutan dan lahan.","author":[{"dropping-particle":"","family":"Pratiwi","given":"Trya Ayu","non-dropping-particle":"","parse-names":false,"suffix":""},{"dropping-particle":"","family":"Irsyad","given":"Muhammad","non-dropping-particle":"","parse-names":false,"suffix":""},{"dropping-particle":"","family":"Kurniawan","given":"Rahmad","non-dropping-particle":"","parse-names":false,"suffix":""}],"container-title":"Jurnal Sistem dan Teknologi Informasi (Justin)","id":"ITEM-1","issue":"2","issued":{"date-parts":[["2021"]]},"page":"101","title":"Klasifikasi Kebakaran Hutan dan Lahan Menggunakan Algoritma Naïve Bayes (Studi Kasus: Provinsi Riau)","type":"article-journal","volume":"9"},"uris":["http://www.mendeley.com/documents/?uuid=8df4fe5d-07aa-4a4a-b050-3a2b20c87b13"]}],"mendeley":{"formattedCitation":"[10]","plainTextFormattedCitation":"[10]","previouslyFormattedCitation":"[11]"},"properties":{"noteIndex":0},"schema":"https://github.com/citation-style-language/schema/raw/master/csl-citation.json"}</w:instrText>
      </w:r>
      <w:r>
        <w:fldChar w:fldCharType="separate"/>
      </w:r>
      <w:r w:rsidRPr="009622A3">
        <w:rPr>
          <w:noProof/>
        </w:rPr>
        <w:t>[10]</w:t>
      </w:r>
      <w:r>
        <w:fldChar w:fldCharType="end"/>
      </w:r>
      <w:r w:rsidRPr="00DE7DBC">
        <w:t xml:space="preserve">. Hotspots are points on the image (pixels or sub-pixels) that have very high temperatures and are associated with active Earth surface </w:t>
      </w:r>
      <w:r>
        <w:fldChar w:fldCharType="begin" w:fldLock="1"/>
      </w:r>
      <w:r>
        <w:instrText>ADDIN CSL_CITATION {"citationItems":[{"id":"ITEM-1","itemData":{"author":[{"dropping-particle":"","family":"Putra","given":"","non-dropping-particle":"","parse-names":false,"suffix":""},{"dropping-particle":"","family":"Heryanto","given":"Eko","non-dropping-particle":"","parse-names":false,"suffix":""},{"dropping-particle":"","family":"Sopaheluwakan","given":"Ardhasena","non-dropping-particle":"","parse-names":false,"suffix":""},{"dropping-particle":"","family":"Pradana","given":"Radyan Putra","non-dropping-particle":"","parse-names":false,"suffix":""},{"dropping-particle":"","family":"Haryoko","given":"Urip","non-dropping-particle":"","parse-names":false,"suffix":""}],"container-title":"Seminar Nasional Geomatika","id":"ITEM-1","issue":"3","issued":{"date-parts":[["2019"]]},"page":"1123-1128","title":"Sebaran Spasial Dan Temporal Titik Panas (Hotspot) Di Indonesia Dari Satelit Modis Dengan Metode Gridding","type":"article-journal"},"uris":["http://www.mendeley.com/documents/?uuid=cc0b9733-504a-4e2e-9881-4a80d2e89474"]}],"mendeley":{"formattedCitation":"[21]","plainTextFormattedCitation":"[21]","previouslyFormattedCitation":"[23]"},"properties":{"noteIndex":0},"schema":"https://github.com/citation-style-language/schema/raw/master/csl-citation.json"}</w:instrText>
      </w:r>
      <w:r>
        <w:fldChar w:fldCharType="separate"/>
      </w:r>
      <w:r w:rsidRPr="009622A3">
        <w:rPr>
          <w:noProof/>
        </w:rPr>
        <w:t>fires [21]</w:t>
      </w:r>
      <w:r>
        <w:fldChar w:fldCharType="end"/>
      </w:r>
      <w:r w:rsidRPr="00DE7DBC">
        <w:t>.</w:t>
      </w:r>
    </w:p>
    <w:p w14:paraId="0C66A7D3" w14:textId="77777777" w:rsidR="00DE7DBC" w:rsidRDefault="00000000" w:rsidP="00DE7DBC">
      <w:pPr>
        <w:pStyle w:val="Heading2"/>
        <w:numPr>
          <w:ilvl w:val="1"/>
          <w:numId w:val="2"/>
        </w:numPr>
      </w:pPr>
      <w:r>
        <w:t>Data Mining</w:t>
      </w:r>
    </w:p>
    <w:p w14:paraId="594102D2" w14:textId="77777777" w:rsidR="00ED0F3B" w:rsidRDefault="00000000" w:rsidP="00ED0F3B">
      <w:pPr>
        <w:tabs>
          <w:tab w:val="left" w:pos="288"/>
        </w:tabs>
        <w:spacing w:after="120" w:line="228" w:lineRule="auto"/>
        <w:ind w:firstLine="288"/>
        <w:jc w:val="both"/>
      </w:pPr>
      <w:r w:rsidRPr="00DE7DBC">
        <w:t xml:space="preserve">Data mining combines several computer science disciplines defined as discovering new patterns from massive data sets, including methods related to artificial intelligence </w:t>
      </w:r>
      <w:r>
        <w:fldChar w:fldCharType="begin" w:fldLock="1"/>
      </w:r>
      <w:r>
        <w:instrText>ADDIN CSL_CITATION {"citationItems":[{"id":"ITEM-1","itemData":{"DOI":"10.26418/jp.v6i2.40914","ISSN":"2460-0741","abstract":"Sistem pakar memiliki berbagai keunggulan dibandingkan kepakaran manusia karena sistem pakar terjangkau, permanen, konsisten, proses yang cepat, dan dapat digandakan. Hal ini menyebabkan sistem pakar berkembang diberbagai bidang. Perlu adanya kajian tentang data implementasi maupun metode yang digunakan dalam sistem pakar. Penelitian ini bertujuan untuk menganalisis data pada artikel sistem pakar dengan mengguankan metode systematic review serta menentukan string yang cocok dalam pengumpulan data. Langkah penelitian menggunakan flowchart PRISMA dengan penentuan string yang sesuai berdasarkan lingkup sistem pakar dan teknik dalam data mining. Pencarian dilakukan pada database online. Metode systematic review ini, dapat menjadi salah satu alternatif metode dalam penulisan karya ilmiah berdasarkan artikel sebelumnya. Dimana hasil dalam artikel sistem pakar sebagai studi dalam penelitian bahwa bidang yang masih unggul adalah computer science serta prediction adalah teknik yang paling banyak digunakan.","author":[{"dropping-particle":"","family":"Sastypratiwi","given":"Helen","non-dropping-particle":"","parse-names":false,"suffix":""},{"dropping-particle":"","family":"Nyoto","given":"Rudy Dwi","non-dropping-particle":"","parse-names":false,"suffix":""}],"container-title":"Jurnal Edukasi dan Penelitian Informatika (JEPIN)","id":"ITEM-1","issue":"2","issued":{"date-parts":[["2020"]]},"page":"250","title":"Analisis Data Artikel Sistem Pakar Menggunakan Metode Systematic Review","type":"article-journal","volume":"6"},"uris":["http://www.mendeley.com/documents/?uuid=6c5f80d3-d428-461d-a709-5fffbf0efc5a"]}],"mendeley":{"formattedCitation":"[22]","plainTextFormattedCitation":"[22]","previouslyFormattedCitation":"[24]"},"properties":{"noteIndex":0},"schema":"https://github.com/citation-style-language/schema/raw/master/csl-citation.json"}</w:instrText>
      </w:r>
      <w:r>
        <w:fldChar w:fldCharType="separate"/>
      </w:r>
      <w:r w:rsidRPr="009622A3">
        <w:rPr>
          <w:noProof/>
        </w:rPr>
        <w:t>[22]</w:t>
      </w:r>
      <w:r>
        <w:fldChar w:fldCharType="end"/>
      </w:r>
      <w:r w:rsidRPr="00DE7DBC">
        <w:t>.</w:t>
      </w:r>
      <w:r w:rsidR="00DB7EF8">
        <w:t xml:space="preserve"> </w:t>
      </w:r>
    </w:p>
    <w:p w14:paraId="2E1622D5" w14:textId="77777777" w:rsidR="00ED0F3B" w:rsidRPr="00DE7DBC" w:rsidRDefault="00000000" w:rsidP="00DE7DBC">
      <w:pPr>
        <w:pStyle w:val="Heading2"/>
        <w:numPr>
          <w:ilvl w:val="1"/>
          <w:numId w:val="2"/>
        </w:numPr>
      </w:pPr>
      <w:r w:rsidRPr="00DE7DBC">
        <w:t>Prediction</w:t>
      </w:r>
    </w:p>
    <w:p w14:paraId="2243187A" w14:textId="77777777" w:rsidR="00DE7DBC" w:rsidRDefault="00000000" w:rsidP="00ED0F3B">
      <w:pPr>
        <w:tabs>
          <w:tab w:val="left" w:pos="288"/>
        </w:tabs>
        <w:spacing w:after="120" w:line="228" w:lineRule="auto"/>
        <w:ind w:firstLine="288"/>
        <w:jc w:val="both"/>
      </w:pPr>
      <w:r w:rsidRPr="00DE7DBC">
        <w:t xml:space="preserve">Prediction is systematically estimating something that will happen in the future based on past and present information to get forecast results close to the actual results. There are two techniques for predicting, namely qualitative prediction techniques and quantitative prediction techniques </w:t>
      </w:r>
      <w:r>
        <w:rPr>
          <w:shd w:val="clear" w:color="auto" w:fill="FFFFFF"/>
        </w:rPr>
        <w:fldChar w:fldCharType="begin" w:fldLock="1"/>
      </w:r>
      <w:r>
        <w:rPr>
          <w:shd w:val="clear" w:color="auto" w:fill="FFFFFF"/>
        </w:rPr>
        <w:instrText>ADDIN CSL_CITATION {"citationItems":[{"id":"ITEM-1","itemData":{"author":[{"dropping-particle":"","family":"Pangestu","given":"W","non-dropping-particle":"","parse-names":false,"suffix":""},{"dropping-particle":"","family":"Widodo","given":"A.","non-dropping-particle":"","parse-names":false,"suffix":""},{"dropping-particle":"","family":"Rahayudi","given":"B","non-dropping-particle":"","parse-names":false,"suffix":""}],"container-title":"Jurnal Pengembangan Teknologi Informasi dan Ilmu Komputer","id":"ITEM-1","issue":"9","issued":{"date-parts":[["2018"]]},"page":"964","title":"Prediksi Jumlah Kendaraan Bermotor di Indonesia Menggunakan Metode Average-Based Fuzzy Time Series Models","type":"article-journal","volume":"2"},"uris":["http://www.mendeley.com/documents/?uuid=fbe023af-57b6-4207-ac88-a306737472cb"]}],"mendeley":{"formattedCitation":"[23]","plainTextFormattedCitation":"[23]","previouslyFormattedCitation":"[25]"},"properties":{"noteIndex":0},"schema":"https://github.com/citation-style-language/schema/raw/master/csl-citation.json"}</w:instrText>
      </w:r>
      <w:r>
        <w:rPr>
          <w:shd w:val="clear" w:color="auto" w:fill="FFFFFF"/>
        </w:rPr>
        <w:fldChar w:fldCharType="separate"/>
      </w:r>
      <w:r w:rsidRPr="009622A3">
        <w:rPr>
          <w:noProof/>
          <w:shd w:val="clear" w:color="auto" w:fill="FFFFFF"/>
        </w:rPr>
        <w:t>[23]</w:t>
      </w:r>
      <w:r>
        <w:rPr>
          <w:shd w:val="clear" w:color="auto" w:fill="FFFFFF"/>
        </w:rPr>
        <w:fldChar w:fldCharType="end"/>
      </w:r>
      <w:r w:rsidRPr="00DE7DBC">
        <w:t>.</w:t>
      </w:r>
    </w:p>
    <w:p w14:paraId="030EC4A9" w14:textId="77777777" w:rsidR="002B34AC" w:rsidRDefault="00000000" w:rsidP="00DE7DBC">
      <w:pPr>
        <w:pStyle w:val="Heading2"/>
        <w:numPr>
          <w:ilvl w:val="1"/>
          <w:numId w:val="2"/>
        </w:numPr>
      </w:pPr>
      <w:r w:rsidRPr="00ED0F3B">
        <w:rPr>
          <w:iCs/>
        </w:rPr>
        <w:t>Autoregressive Integrated Moving Average</w:t>
      </w:r>
      <w:r>
        <w:t xml:space="preserve"> </w:t>
      </w:r>
      <w:r w:rsidRPr="00ED0F3B">
        <w:rPr>
          <w:i w:val="0"/>
          <w:iCs/>
        </w:rPr>
        <w:t>(ARIMA)</w:t>
      </w:r>
    </w:p>
    <w:p w14:paraId="689B2DAE" w14:textId="77777777" w:rsidR="00DE7DBC" w:rsidRDefault="00000000" w:rsidP="00EB2A17">
      <w:pPr>
        <w:tabs>
          <w:tab w:val="left" w:pos="288"/>
        </w:tabs>
        <w:spacing w:after="120" w:line="228" w:lineRule="auto"/>
        <w:ind w:firstLine="288"/>
        <w:jc w:val="both"/>
        <w:rPr>
          <w:iCs/>
        </w:rPr>
      </w:pPr>
      <w:r w:rsidRPr="00DE7DBC">
        <w:rPr>
          <w:iCs/>
        </w:rPr>
        <w:t>Autoregressive Integrated Moving Average (ARIMA) is a forecasting model that produces forecasts based on synthesizing historical data patterns. The ARIMA method will work well if the data in the time series are dependent or statistically related</w:t>
      </w:r>
      <w:r>
        <w:rPr>
          <w:iCs/>
        </w:rPr>
        <w:t xml:space="preserve"> </w:t>
      </w:r>
      <w:r>
        <w:fldChar w:fldCharType="begin" w:fldLock="1"/>
      </w:r>
      <w:r>
        <w:instrText>ADDIN CSL_CITATION {"citationItems":[{"id":"ITEM-1","itemData":{"ISSN":"2460-5859","abstract":"The purpose of this study was to determine the best method of forecasting models Holt-Winters exponential smoothing and ARIMA forecasting and compare the results with both methods in order to obtain the best method. The data used in this study is the number of foreign tourist arrivals to Bali Ngurah Rai Year 2010-2015. The data collected by the method of documentation by collecting secondary data and literature. The data analysis is the method of Holt-Winter exponential smoothing and ARIMA with MSE and MAPE smallest value. The results showed that: (1) the prediction using the method of exponential smoothing Holt-Winter produce model with a value of MSE 1436553590 and MAPE 8,86198%; (2) The ARIMA forecasting method produces ARIMA (2,1,0)(0,1,1)12 with the transformation logarithms with MSE 1353169319 and MAPE 9,40981%; and (3) a more precise comparison of forecasting methods Holt-Winters exponential smoothing than ARIMA for produce an error value is less than the error method ARIMA","author":[{"dropping-particle":"","family":"Safitri","given":"Tias","non-dropping-particle":"","parse-names":false,"suffix":""},{"dropping-particle":"","family":"Dwidayati","given":"Nurkaromah","non-dropping-particle":"","parse-names":false,"suffix":""},{"dropping-particle":"","family":"Kunci","given":"Kata","non-dropping-particle":"","parse-names":false,"suffix":""}],"container-title":"Unnes Journal of Mathematics","id":"ITEM-1","issue":"1","issued":{"date-parts":[["2017"]]},"page":"48-58","title":"Perbandingan Peramalan Menggunakan Metode Exponential Smoothing Holt-Winters dan Arima","type":"article-journal","volume":"6"},"uris":["http://www.mendeley.com/documents/?uuid=0d3dadfa-6f4b-4ead-bb11-0f0a106ebd5f"]}],"mendeley":{"formattedCitation":"[24]","plainTextFormattedCitation":"[24]","previouslyFormattedCitation":"[26]"},"properties":{"noteIndex":0},"schema":"https://github.com/citation-style-language/schema/raw/master/csl-citation.json"}</w:instrText>
      </w:r>
      <w:r>
        <w:fldChar w:fldCharType="separate"/>
      </w:r>
      <w:r w:rsidRPr="009622A3">
        <w:rPr>
          <w:noProof/>
        </w:rPr>
        <w:t>[24]</w:t>
      </w:r>
      <w:r>
        <w:fldChar w:fldCharType="end"/>
      </w:r>
      <w:r w:rsidRPr="00DE7DBC">
        <w:rPr>
          <w:iCs/>
        </w:rPr>
        <w:t>.</w:t>
      </w:r>
      <w:r w:rsidR="00165BAF">
        <w:rPr>
          <w:iCs/>
        </w:rPr>
        <w:t xml:space="preserve"> </w:t>
      </w:r>
      <w:r w:rsidR="00165BAF" w:rsidRPr="00165BAF">
        <w:rPr>
          <w:iCs/>
        </w:rPr>
        <w:t>The advantage of the ARIMA method is that it is suitable for forecasting data with a simple and relatively easy application in analyzing data containing seasonal and trend patterns</w:t>
      </w:r>
      <w:r w:rsidR="00165BAF">
        <w:rPr>
          <w:iCs/>
        </w:rPr>
        <w:t xml:space="preserve"> </w:t>
      </w:r>
      <w:r w:rsidR="00165BAF">
        <w:fldChar w:fldCharType="begin" w:fldLock="1"/>
      </w:r>
      <w:r w:rsidR="00165BAF">
        <w:instrText>ADDIN CSL_CITATION {"citationItems":[{"id":"ITEM-1","itemData":{"ISSN":"2460-5859","abstract":"The purpose of this study was to determine the best method of forecasting models Holt-Winters exponential smoothing and ARIMA forecasting and compare the results with both methods in order to obtain the best method. The data used in this study is the number of foreign tourist arrivals to Bali Ngurah Rai Year 2010-2015. The data collected by the method of documentation by collecting secondary data and literature. The data analysis is the method of Holt-Winter exponential smoothing and ARIMA with MSE and MAPE smallest value. The results showed that: (1) the prediction using the method of exponential smoothing Holt-Winter produce model with a value of MSE 1436553590 and MAPE 8,86198%; (2) The ARIMA forecasting method produces ARIMA (2,1,0)(0,1,1)12 with the transformation logarithms with MSE 1353169319 and MAPE 9,40981%; and (3) a more precise comparison of forecasting methods Holt-Winters exponential smoothing than ARIMA for produce an error value is less than the error method ARIMA","author":[{"dropping-particle":"","family":"Safitri","given":"Tias","non-dropping-particle":"","parse-names":false,"suffix":""},{"dropping-particle":"","family":"Dwidayati","given":"Nurkaromah","non-dropping-particle":"","parse-names":false,"suffix":""},{"dropping-particle":"","family":"Kunci","given":"Kata","non-dropping-particle":"","parse-names":false,"suffix":""}],"container-title":"Unnes Journal of Mathematics","id":"ITEM-1","issue":"1","issued":{"date-parts":[["2017"]]},"page":"48-58","title":"Perbandingan Peramalan Menggunakan Metode Exponential Smoothing Holt-Winters dan Arima","type":"article-journal","volume":"6"},"uris":["http://www.mendeley.com/documents/?uuid=0d3dadfa-6f4b-4ead-bb11-0f0a106ebd5f"]}],"mendeley":{"formattedCitation":"[24]","plainTextFormattedCitation":"[24]","previouslyFormattedCitation":"[26]"},"properties":{"noteIndex":0},"schema":"https://github.com/citation-style-language/schema/raw/master/csl-citation.json"}</w:instrText>
      </w:r>
      <w:r w:rsidR="00165BAF">
        <w:fldChar w:fldCharType="separate"/>
      </w:r>
      <w:r w:rsidR="00165BAF" w:rsidRPr="009622A3">
        <w:rPr>
          <w:noProof/>
        </w:rPr>
        <w:t>[24]</w:t>
      </w:r>
      <w:r w:rsidR="00165BAF">
        <w:fldChar w:fldCharType="end"/>
      </w:r>
      <w:r w:rsidR="00165BAF" w:rsidRPr="00165BAF">
        <w:rPr>
          <w:iCs/>
        </w:rPr>
        <w:t>.</w:t>
      </w:r>
    </w:p>
    <w:p w14:paraId="24346573" w14:textId="77777777" w:rsidR="00EB2A17" w:rsidRDefault="00000000" w:rsidP="00C23634">
      <w:pPr>
        <w:pStyle w:val="Heading2"/>
        <w:numPr>
          <w:ilvl w:val="1"/>
          <w:numId w:val="2"/>
        </w:numPr>
        <w:ind w:left="284"/>
      </w:pPr>
      <w:r>
        <w:t xml:space="preserve"> </w:t>
      </w:r>
      <w:r w:rsidRPr="00ED0F3B">
        <w:rPr>
          <w:iCs/>
        </w:rPr>
        <w:t>Seasonal Autoregressive Integrated Moving Average</w:t>
      </w:r>
      <w:r>
        <w:t xml:space="preserve"> </w:t>
      </w:r>
      <w:r w:rsidRPr="000116AC">
        <w:rPr>
          <w:i w:val="0"/>
          <w:iCs/>
        </w:rPr>
        <w:t>(SARIMA)</w:t>
      </w:r>
      <w:r w:rsidR="000116AC">
        <w:t xml:space="preserve"> </w:t>
      </w:r>
    </w:p>
    <w:p w14:paraId="0924B337" w14:textId="77777777" w:rsidR="00C23634" w:rsidRPr="00734C82" w:rsidRDefault="00000000" w:rsidP="00EB2A17">
      <w:pPr>
        <w:tabs>
          <w:tab w:val="left" w:pos="288"/>
        </w:tabs>
        <w:spacing w:after="120" w:line="228" w:lineRule="auto"/>
        <w:jc w:val="both"/>
      </w:pPr>
      <w:r>
        <w:tab/>
      </w:r>
      <w:r w:rsidRPr="00C23634">
        <w:t xml:space="preserve">Seasonal Autoregressive Integrated Moving Average (SARIMA) is developing the Autoregressive Integrated Moving Average (ARIMA) model on time series with seasonal </w:t>
      </w:r>
      <w:r w:rsidRPr="00C23634">
        <w:lastRenderedPageBreak/>
        <w:t>patterns. The SARIMA model is denoted by ARIMA</w:t>
      </w:r>
      <w:r w:rsidR="003F567A">
        <w:t xml:space="preserve"> </w:t>
      </w:r>
      <w:r w:rsidRPr="00C23634">
        <w:t>(</w:t>
      </w:r>
      <w:r w:rsidRPr="00C23634">
        <w:rPr>
          <w:i/>
          <w:iCs/>
        </w:rPr>
        <w:t>p,d,q</w:t>
      </w:r>
      <w:r w:rsidRPr="00C23634">
        <w:t>)</w:t>
      </w:r>
      <w:r w:rsidR="003F567A">
        <w:t xml:space="preserve"> </w:t>
      </w:r>
      <w:r w:rsidRPr="00C23634">
        <w:t>(</w:t>
      </w:r>
      <w:r w:rsidRPr="00C23634">
        <w:rPr>
          <w:rFonts w:ascii="Cambria Math" w:hAnsi="Cambria Math" w:cs="Cambria Math"/>
        </w:rPr>
        <w:t>𝑃</w:t>
      </w:r>
      <w:r w:rsidRPr="00C23634">
        <w:t xml:space="preserve">, </w:t>
      </w:r>
      <w:r w:rsidRPr="00C23634">
        <w:rPr>
          <w:rFonts w:ascii="Cambria Math" w:hAnsi="Cambria Math" w:cs="Cambria Math"/>
        </w:rPr>
        <w:t>𝐷</w:t>
      </w:r>
      <w:r w:rsidRPr="00C23634">
        <w:t xml:space="preserve">, </w:t>
      </w:r>
      <w:r w:rsidRPr="00C23634">
        <w:rPr>
          <w:rFonts w:ascii="Cambria Math" w:hAnsi="Cambria Math" w:cs="Cambria Math"/>
        </w:rPr>
        <w:t>𝑄</w:t>
      </w:r>
      <w:r w:rsidRPr="00C23634">
        <w:t>)</w:t>
      </w:r>
      <w:r w:rsidRPr="00C23634">
        <w:rPr>
          <w:rFonts w:ascii="Cambria Math" w:hAnsi="Cambria Math" w:cs="Cambria Math"/>
          <w:vertAlign w:val="superscript"/>
        </w:rPr>
        <w:t>𝑠</w:t>
      </w:r>
      <w:r w:rsidRPr="00C23634">
        <w:t>. In the SARIMA model, two parts are designated by lowercase and capital letters, and (</w:t>
      </w:r>
      <w:r w:rsidRPr="00C23634">
        <w:rPr>
          <w:i/>
          <w:iCs/>
        </w:rPr>
        <w:t>p,d,q</w:t>
      </w:r>
      <w:r w:rsidRPr="00C23634">
        <w:t>) is the notation of the part of the model that is not seasonal. While (</w:t>
      </w:r>
      <w:r w:rsidRPr="00C23634">
        <w:rPr>
          <w:i/>
          <w:iCs/>
        </w:rPr>
        <w:t>P, D, Q</w:t>
      </w:r>
      <w:r w:rsidRPr="00C23634">
        <w:t xml:space="preserve">) is the notation of the seasonal component of the model. The power s is a notation for calculating the number of periods per season </w:t>
      </w:r>
      <w:r>
        <w:fldChar w:fldCharType="begin" w:fldLock="1"/>
      </w:r>
      <w:r>
        <w:instrText>ADDIN CSL_CITATION {"citationItems":[{"id":"ITEM-1","itemData":{"DOI":"10.35799/jis.v22i2.40961","ISSN":"14123770","abstract":"Tujuan dari penelitian ini yaitu menentukan model intervensi pada data jumlah pengunjung di objek wisata Londa dan memprediksi jumlah pengunjung objek wisata Londa pada bulan Desember 2021 sampai Juni 2022 menggunakan model Seasonal Autoregresive Integrated Moving Average (SARIMA). Data yang digunakan adalah data jumlah pengunjung bulanan pada periode bulan Januari 2018 sampai bulan November 2021, yang diperoleh dari pihak pengelolah objek wisata Londa.  Pola data jumlah pengunjung pada objek wisata Londa mengalami fluktuasi yang signifikan, yaitu pada bulan April 2020 (T=28). Model intervensi yang digunakan dalam penelitian ini yaitu fungsi step karena pengaruh yang terjadi berlangsung dalam kurun waktu cukup lama yaitu pada bulan April 2020 sampai November 2021 (T=28 sampai T=47).  Model terbaik yang diperoleh dari hasil analisis data yaitu SARIMA (1,1,0)(1,1,0)[6] dengan orde intervensi b=0, s=5, dan r=2, dengan nilai MAPE dan MAE masing-masing sebesar 4,38% dan 0,397.  Hasil prediksi dari bulan Desember 2021 sampai Juni 2022 secara berturut-turut yaitu 2550, 756, 347, 515, 1585, 1287 dan 2247 orang.  Jumlah pengunjung akan meningkat pada waktu musim liburan yaitu Bulan Desember dan Juni.Kata kunci: Model intervensi; fungsi step; objek wisata Londa,ABSTRACTThe object of this study are to determine the intervention model of the number of visitors at the Londa tourism object and predict the number of visitors at the Londa tourism object for December 2021 to June 2020 using Seasonal Autoregresive Integrated Moving Average (SARIMA) models. The data used is monthly data for the period from January 2018 to November 2021, which was obtained from the manager of the Londa tourist object. The data pattem on the number of visitors at the Londa tourism object experienced significant fluctuations on April 2020 (T=28). The suspected intervention model is a step function because the effect of the intervention that occurred took place over a long period of time, from April 2020 to November 2021 (T=28 to T=47). The best model obtained from the results of data analysis is SARIMA (1,1,0)(1,1,0)[6] with an intervention order of b=0, s=5, and r=2, with MAPE and MAE values are 4,38% and 0,397.  Forecasting results from December 2021 to June 2022 respectively, are 2550, 756, 347, 515, 1585, 1287 and  2247 people.  The number of visitors will increase during the holiday season, i.e. December and June.Keywords: Intervention model; Londa tourism object; step function","author":[{"dropping-particle":"","family":"Christie","given":"Geovani","non-dropping-particle":"","parse-names":false,"suffix":""},{"dropping-particle":"","family":"Hatidja","given":"Djoni","non-dropping-particle":"","parse-names":false,"suffix":""},{"dropping-particle":"","family":"Tumilaar","given":"Rinancy","non-dropping-particle":"","parse-names":false,"suffix":""}],"container-title":"Jurnal Ilmiah Sains","id":"ITEM-1","issue":"2","issued":{"date-parts":[["2022"]]},"page":"96","title":"Penerapan Metode SARIMA dalam Model Intervensi Fungsi Step untuk Memprediksi Jumlah Pegunjung Objek Wisata Londa (Application of the SARIMA Method in the Step Function Intervention to Predict the Number of Visitors at Londa Tourism Object)","type":"article-journal","volume":"22"},"uris":["http://www.mendeley.com/documents/?uuid=d672cef1-ff6a-4f70-9644-a0829a969815"]}],"mendeley":{"formattedCitation":"[25]","plainTextFormattedCitation":"[25]","previouslyFormattedCitation":"[27]"},"properties":{"noteIndex":0},"schema":"https://github.com/citation-style-language/schema/raw/master/csl-citation.json"}</w:instrText>
      </w:r>
      <w:r>
        <w:fldChar w:fldCharType="separate"/>
      </w:r>
      <w:r w:rsidRPr="009622A3">
        <w:rPr>
          <w:noProof/>
        </w:rPr>
        <w:t>[25]</w:t>
      </w:r>
      <w:r>
        <w:fldChar w:fldCharType="end"/>
      </w:r>
      <w:r w:rsidRPr="00C23634">
        <w:t>.</w:t>
      </w:r>
    </w:p>
    <w:p w14:paraId="5FFBEE90" w14:textId="77777777" w:rsidR="00914DE2" w:rsidRDefault="00000000" w:rsidP="00C23634">
      <w:pPr>
        <w:pStyle w:val="Heading1"/>
        <w:numPr>
          <w:ilvl w:val="0"/>
          <w:numId w:val="1"/>
        </w:numPr>
      </w:pPr>
      <w:r>
        <w:t>Research Method</w:t>
      </w:r>
    </w:p>
    <w:p w14:paraId="5EFC033F" w14:textId="77777777" w:rsidR="00C23634" w:rsidRDefault="00000000">
      <w:pPr>
        <w:tabs>
          <w:tab w:val="left" w:pos="288"/>
        </w:tabs>
        <w:spacing w:after="120" w:line="228" w:lineRule="auto"/>
        <w:ind w:firstLine="288"/>
        <w:jc w:val="both"/>
      </w:pPr>
      <w:r w:rsidRPr="00C23634">
        <w:t xml:space="preserve">The methodology in this study adopts the process in the ARIMA and SARIMA model framework </w:t>
      </w:r>
      <w:r>
        <w:fldChar w:fldCharType="begin" w:fldLock="1"/>
      </w:r>
      <w:r>
        <w:instrText>ADDIN CSL_CITATION {"citationItems":[{"id":"ITEM-1","itemData":{"DOI":"10.1088/1742-6596/1663/1/012033","ISSN":"17426596","abstract":"Trains are one of the most popular public transportations in Indonesia. The data from the Indonesian Central Bureau of Statistics show an increasing trend in the number of train passengers in Indonesia. However, the improvement of the railway network and service is needed. This study aims to forecast the number of railway passengers in Indonesia to help the government make appropriate improvements in the railway system for the future and evaluate the potential loss due to COVID-19. We use the data from the Indonesian Central Bureau of Statistics, from January 2006 to February 2020 and assume that there is no pandemic of COVID-19. The two models we use are Backpropagation Artificial Neural Network (BPANN) and Seasonal ARIMA (SARIMA). To find the best model, we observe BPANN with various parameters and the potential SARIMA models in MATLAB and R software, respectively. Our finding is that Backpropagation Artificial Neural Network of 12-5-1 with a learning rate of 0.001 has a smaller root mean squared error (RMSE) compared to SARIMA (2,1,0)(0,1,2)12. Hence, it yields a more accurate forecast of the number of train passengers, which helps the railway company to improve and understand the loss due to COVID-19 accurately.","author":[{"dropping-particle":"","family":"Amalia","given":"O. A.","non-dropping-particle":"","parse-names":false,"suffix":""},{"dropping-particle":"","family":"Putri","given":"A. H.M.","non-dropping-particle":"","parse-names":false,"suffix":""}],"container-title":"Journal of Physics: Conference Series","id":"ITEM-1","issue":"1","issued":{"date-parts":[["2020"]]},"title":"Comparison of backpropagation artificial neural network and SARIMA in predicting the number of railway passengers","type":"article-journal","volume":"1663"},"uris":["http://www.mendeley.com/documents/?uuid=d8cde059-2546-4270-b2db-691c86701261"]}],"mendeley":{"formattedCitation":"[26]","plainTextFormattedCitation":"[26]","previouslyFormattedCitation":"[28]"},"properties":{"noteIndex":0},"schema":"https://github.com/citation-style-language/schema/raw/master/csl-citation.json"}</w:instrText>
      </w:r>
      <w:r>
        <w:fldChar w:fldCharType="separate"/>
      </w:r>
      <w:r w:rsidRPr="009622A3">
        <w:rPr>
          <w:noProof/>
        </w:rPr>
        <w:t>[26]</w:t>
      </w:r>
      <w:r>
        <w:fldChar w:fldCharType="end"/>
      </w:r>
      <w:r w:rsidRPr="00C23634">
        <w:t>. The central core of the framework consists of five stages: data collection or acquisition, preprocessing, model identification, model parameter estimation, diagnostic checking, prediction and result evaluation.</w:t>
      </w:r>
    </w:p>
    <w:p w14:paraId="0515682C" w14:textId="77777777" w:rsidR="00914DE2" w:rsidRDefault="00000000" w:rsidP="00C23634">
      <w:pPr>
        <w:pStyle w:val="Heading2"/>
        <w:numPr>
          <w:ilvl w:val="1"/>
          <w:numId w:val="10"/>
        </w:numPr>
      </w:pPr>
      <w:r>
        <w:t>Akuisisi Data</w:t>
      </w:r>
    </w:p>
    <w:p w14:paraId="214A231F" w14:textId="77777777" w:rsidR="00C23634" w:rsidRDefault="00000000">
      <w:pPr>
        <w:tabs>
          <w:tab w:val="left" w:pos="288"/>
        </w:tabs>
        <w:spacing w:after="120" w:line="228" w:lineRule="auto"/>
        <w:ind w:firstLine="288"/>
        <w:jc w:val="both"/>
      </w:pPr>
      <w:r w:rsidRPr="00C23634">
        <w:t>This study uses hotspot data in the West Kalimantan region. The hotspot data is obtained from the early detection information system for forest and land fire control (Sipongi)—the dataset used from 2013 to 2022. Features or variables in the dataset include date, district, sub-district, village, time, satellite and confidence (hotspot level). The total data obtained was 166,980 records.</w:t>
      </w:r>
    </w:p>
    <w:p w14:paraId="34322C83" w14:textId="77777777" w:rsidR="00FD5538" w:rsidRPr="00C23634" w:rsidRDefault="00000000" w:rsidP="00C23634">
      <w:pPr>
        <w:pStyle w:val="Heading2"/>
        <w:numPr>
          <w:ilvl w:val="1"/>
          <w:numId w:val="10"/>
        </w:numPr>
      </w:pPr>
      <w:r w:rsidRPr="006C7A76">
        <w:t>Preprocessing</w:t>
      </w:r>
    </w:p>
    <w:p w14:paraId="03E265AD" w14:textId="77777777" w:rsidR="00C23634" w:rsidRPr="00FD5538" w:rsidRDefault="00000000" w:rsidP="00832D9C">
      <w:pPr>
        <w:ind w:firstLine="288"/>
        <w:jc w:val="both"/>
        <w:rPr>
          <w:iCs/>
        </w:rPr>
      </w:pPr>
      <w:r w:rsidRPr="00C23634">
        <w:rPr>
          <w:iCs/>
        </w:rPr>
        <w:t xml:space="preserve">After collecting the data, the next step is to preprocess the forest and land fire hotspot data in West Kalimantan. This process aims to prepare raw data that will later be used as data for modelling input so that the resulting model will be of higher quality. Thus, data </w:t>
      </w:r>
      <w:r w:rsidR="006C7A76">
        <w:rPr>
          <w:iCs/>
        </w:rPr>
        <w:t>p</w:t>
      </w:r>
      <w:r w:rsidR="006C7A76" w:rsidRPr="006C7A76">
        <w:rPr>
          <w:iCs/>
        </w:rPr>
        <w:t>reprocessing</w:t>
      </w:r>
      <w:r w:rsidRPr="00C23634">
        <w:rPr>
          <w:iCs/>
        </w:rPr>
        <w:t xml:space="preserve"> is crucial to identifying and removing irrelevant and redundant features. In addition, the implication of these conditions will reduce the dimensionality of the data and allow the model to operate more quickly and effectively.</w:t>
      </w:r>
    </w:p>
    <w:p w14:paraId="1F634749" w14:textId="77777777" w:rsidR="00914DE2" w:rsidRDefault="00000000" w:rsidP="001237BE">
      <w:pPr>
        <w:pStyle w:val="Heading2"/>
        <w:numPr>
          <w:ilvl w:val="1"/>
          <w:numId w:val="10"/>
        </w:numPr>
      </w:pPr>
      <w:r w:rsidRPr="00C23634">
        <w:t>Model Identification</w:t>
      </w:r>
    </w:p>
    <w:p w14:paraId="3EB28027" w14:textId="77777777" w:rsidR="006B72B6" w:rsidRDefault="00000000" w:rsidP="006B72B6">
      <w:pPr>
        <w:ind w:firstLine="288"/>
        <w:jc w:val="both"/>
      </w:pPr>
      <w:r w:rsidRPr="00C23634">
        <w:t>In this research, model identification is carried out with several steps, namely as follows:</w:t>
      </w:r>
    </w:p>
    <w:p w14:paraId="60EB40B1" w14:textId="77777777" w:rsidR="00C23634" w:rsidRDefault="00000000" w:rsidP="00C23634">
      <w:pPr>
        <w:pStyle w:val="ListParagraph"/>
        <w:numPr>
          <w:ilvl w:val="0"/>
          <w:numId w:val="18"/>
        </w:numPr>
        <w:tabs>
          <w:tab w:val="left" w:pos="288"/>
        </w:tabs>
        <w:spacing w:after="120" w:line="228" w:lineRule="auto"/>
        <w:ind w:left="426" w:hanging="284"/>
        <w:jc w:val="both"/>
      </w:pPr>
      <w:r w:rsidRPr="00C23634">
        <w:t>They plotted the time series data to see the stationarity of the data, whether it is stationary either in mean or variance. After that, Decomposing time series data into several sub-components is carried out to determine the effect of each component on the data series. Generally, two models are used, namely Additive Decomposition and Multiplicative Decomposition.</w:t>
      </w:r>
      <w:bookmarkStart w:id="2" w:name="_Hlk143875350"/>
    </w:p>
    <w:p w14:paraId="3C1DAF0D" w14:textId="77777777" w:rsidR="00C23634" w:rsidRDefault="00000000" w:rsidP="0019788B">
      <w:pPr>
        <w:pStyle w:val="ListParagraph"/>
        <w:numPr>
          <w:ilvl w:val="0"/>
          <w:numId w:val="18"/>
        </w:numPr>
        <w:tabs>
          <w:tab w:val="left" w:pos="288"/>
        </w:tabs>
        <w:spacing w:after="120" w:line="228" w:lineRule="auto"/>
        <w:ind w:left="426" w:hanging="284"/>
        <w:jc w:val="both"/>
      </w:pPr>
      <w:r w:rsidRPr="00C23634">
        <w:t>In addition to data plotting, the data stationary test can use the Augmented Dickey-Fuller Test to see whether the statistical test value is lower than the critical value. Also, the time series data is fixed by looking at the p-value, whether the value is smaller than 0.05. If not, then the data is non-stationary. If the time series data is not stationary to the mean or variance, it can be fixed with the Differencing process.</w:t>
      </w:r>
      <w:bookmarkEnd w:id="2"/>
      <w:r w:rsidR="0019788B">
        <w:t xml:space="preserve"> </w:t>
      </w:r>
      <w:r w:rsidRPr="00C23634">
        <w:t xml:space="preserve">Differencing is calculating the change or difference in observation values </w:t>
      </w:r>
      <w:r>
        <w:fldChar w:fldCharType="begin" w:fldLock="1"/>
      </w:r>
      <w:r>
        <w:instrText>ADDIN CSL_CITATION {"citationItems":[{"id":"ITEM-1","itemData":{"DOI":"10.20956/j.v18i2.18382","abstract":"PT. Kereta Api Indonesia dan PT. KAI Commuter Jabodetabek mencatat data deret waktu berupa jumlah penumpang kereta api (ribu orang) di Wilayah Jabodetabek tahun 2011-2020. Salah satu metode deret waktu yang dapat digunakan untuk meramalkan jumlah penumpang kereta api (ribu orang) di Wilayah Jabodetabek adalah metode ARIMA. ARIMA atau disebut juga metode analisis runtun waktu Box-Jenkins digunakan untuk peramalan jangka pendek dan tidak mengakomodasi faktor musiman. Jika asumsi homoskedastisitas residual terlanggar, dapat digunakan metode ARCH/GARCH yang secara eksplisit memodelkan perubahan ragam residual dari waktu ke waktu. Penelitian ini bertujuan untuk melakukan pemodelan dan peramalan jumlah penumpang kereta api (ribu orang) di Wilayah Jabodetabek pada tahun 2021. Berdasarkan analisis dan pengolahan data dengan metode ARIMA, diperoleh model terbaik adalah model ARIMA (1,1,1) dengan nilai AIC sebesar 2.159,87 dan dengan metode ARCH/GARCH, diperoleh model terbaik adalah GARCH (1,1) dengan nilai AIC sebesar 18,314. Hasil peramalan yang diperoleh berdasarkan model terbaik dapat dijadikan referensi bagi pihak-pihak terkait dalam mengelola dan menyediakan fasilitas transportasi umum, terutama kereta api.","author":[{"dropping-particle":"","family":"Anbiya","given":"Warosatul","non-dropping-particle":"","parse-names":false,"suffix":""},{"dropping-particle":"","family":"Garini","given":"Farin Cyntiya","non-dropping-particle":"","parse-names":false,"suffix":""}],"id":"ITEM-1","issue":"2","issued":{"date-parts":[["2022"]]},"page":"198-223","title":"Application of GARCH Forecasting Method in Predicting The Number of Rail Passengers ( Thousands of People ) in Jabodetabek Region","type":"article-journal","volume":"18"},"uris":["http://www.mendeley.com/documents/?uuid=28f47abc-94b4-485e-bca5-0d52893863d4"]}],"mendeley":{"formattedCitation":"[27]","plainTextFormattedCitation":"[27]","previouslyFormattedCitation":"[29]"},"properties":{"noteIndex":0},"schema":"https://github.com/citation-style-language/schema/raw/master/csl-citation.json"}</w:instrText>
      </w:r>
      <w:r>
        <w:fldChar w:fldCharType="separate"/>
      </w:r>
      <w:r w:rsidRPr="009622A3">
        <w:rPr>
          <w:noProof/>
        </w:rPr>
        <w:t>[27]</w:t>
      </w:r>
      <w:r>
        <w:fldChar w:fldCharType="end"/>
      </w:r>
      <w:r w:rsidRPr="00C23634">
        <w:t xml:space="preserve">. The difference value obtained is rechecked whether it is stationary or not. Stationarity means that there is no growth or decline in the data. So, data fluctuations are around a constant average value, independent of time and variance of these fluctuations or remain stable at all times </w:t>
      </w:r>
      <w:r>
        <w:fldChar w:fldCharType="begin" w:fldLock="1"/>
      </w:r>
      <w:r>
        <w:instrText>ADDIN CSL_CITATION {"citationItems":[{"id":"ITEM-1","itemData":{"author":[{"dropping-particle":"","family":"Faradilla","given":"Sonia","non-dropping-particle":"","parse-names":false,"suffix":""}],"id":"ITEM-1","issue":"1","issued":{"date-parts":[["2023"]]},"title":"Peramalan Penjualan Produk Baja dan Besi di PT MSU dengan Pendekatan Metode ARIMA dan Single Moving Average","type":"article-journal","volume":"12"},"uris":["http://www.mendeley.com/documents/?uuid=86140391-2e56-4b3d-8ead-7861ba9d706e"]}],"mendeley":{"formattedCitation":"[28]","plainTextFormattedCitation":"[28]","previouslyFormattedCitation":"[30]"},"properties":{"noteIndex":0},"schema":"https://github.com/citation-style-language/schema/raw/master/csl-citation.json"}</w:instrText>
      </w:r>
      <w:r>
        <w:fldChar w:fldCharType="separate"/>
      </w:r>
      <w:r w:rsidRPr="009622A3">
        <w:rPr>
          <w:noProof/>
        </w:rPr>
        <w:t>[28]</w:t>
      </w:r>
      <w:r>
        <w:fldChar w:fldCharType="end"/>
      </w:r>
      <w:r w:rsidRPr="00C23634">
        <w:t xml:space="preserve">. The differencing equation </w:t>
      </w:r>
      <w:r w:rsidR="0019788B">
        <w:fldChar w:fldCharType="begin" w:fldLock="1"/>
      </w:r>
      <w:r w:rsidR="0019788B">
        <w:instrText>ADDIN CSL_CITATION {"citationItems":[{"id":"ITEM-1","itemData":{"author":[{"dropping-particle":"","family":"Sinardi","given":"Amarta","non-dropping-particle":"","parse-names":false,"suffix":""},{"dropping-particle":"","family":"Putra","given":"Rama Dani Eka","non-dropping-particle":"","parse-names":false,"suffix":""}],"id":"ITEM-1","issued":{"date-parts":[["2020"]]},"page":"1-6","title":"Prediksi Awal Musim Hujan Di Waingapu Menggunakan Metode ARIMA","type":"article-journal","volume":"01"},"uris":["http://www.mendeley.com/documents/?uuid=aed7bea9-6bf4-40ff-971b-2c6f6d212af0"]}],"mendeley":{"formattedCitation":"[29]","plainTextFormattedCitation":"[29]","previouslyFormattedCitation":"[31]"},"properties":{"noteIndex":0},"schema":"https://github.com/citation-style-language/schema/raw/master/csl-citation.json"}</w:instrText>
      </w:r>
      <w:r w:rsidR="0019788B">
        <w:fldChar w:fldCharType="separate"/>
      </w:r>
      <w:r w:rsidR="0019788B" w:rsidRPr="009622A3">
        <w:rPr>
          <w:noProof/>
        </w:rPr>
        <w:t>[29]</w:t>
      </w:r>
      <w:r w:rsidR="0019788B">
        <w:fldChar w:fldCharType="end"/>
      </w:r>
      <w:r w:rsidRPr="00C23634">
        <w:t>, is expressed in equation (1).</w:t>
      </w:r>
    </w:p>
    <w:bookmarkStart w:id="3" w:name="_Hlk143867327"/>
    <w:p w14:paraId="59D15D03" w14:textId="77777777" w:rsidR="00B5475D" w:rsidRPr="001C1111" w:rsidRDefault="00000000" w:rsidP="00C037E9">
      <w:pPr>
        <w:tabs>
          <w:tab w:val="left" w:pos="4678"/>
        </w:tabs>
        <w:spacing w:after="120" w:line="228" w:lineRule="auto"/>
        <w:ind w:left="1701" w:firstLine="288"/>
      </w:pPr>
      <m:oMath>
        <m:sSub>
          <m:sSubPr>
            <m:ctrlPr>
              <w:rPr>
                <w:rFonts w:ascii="Cambria Math" w:hAnsi="Cambria Math"/>
              </w:rPr>
            </m:ctrlPr>
          </m:sSubPr>
          <m:e>
            <m:r>
              <w:rPr>
                <w:rFonts w:ascii="Cambria Math" w:hAnsi="Cambria Math"/>
              </w:rPr>
              <m:t>X</m:t>
            </m:r>
            <m:r>
              <m:rPr>
                <m:sty m:val="p"/>
              </m:rPr>
              <w:rPr>
                <w:rFonts w:ascii="Cambria Math" w:hAnsi="Cambria Math"/>
              </w:rPr>
              <m:t>'</m:t>
            </m:r>
          </m:e>
          <m:sub>
            <m:r>
              <w:rPr>
                <w:rFonts w:ascii="Cambria Math" w:hAnsi="Cambria Math"/>
              </w:rPr>
              <m:t>t</m:t>
            </m:r>
          </m:sub>
        </m:sSub>
        <w:bookmarkEnd w:id="3"/>
        <m:r>
          <w:rPr>
            <w:rFonts w:ascii="Cambria Math" w:eastAsia="Noto Sans Symbols" w:hAnsi="Cambria Math" w:cs="Noto Sans Symbols"/>
          </w:rPr>
          <m:t>=</m:t>
        </m:r>
        <m:sSub>
          <m:sSubPr>
            <m:ctrlPr>
              <w:rPr>
                <w:rFonts w:ascii="Cambria Math" w:eastAsia="Noto Sans Symbols" w:hAnsi="Cambria Math" w:cs="Noto Sans Symbols"/>
                <w:i/>
              </w:rPr>
            </m:ctrlPr>
          </m:sSubPr>
          <m:e>
            <m:r>
              <w:rPr>
                <w:rFonts w:ascii="Cambria Math" w:eastAsia="Noto Sans Symbols" w:hAnsi="Cambria Math" w:cs="Noto Sans Symbols"/>
              </w:rPr>
              <m:t>X</m:t>
            </m:r>
          </m:e>
          <m:sub>
            <m:r>
              <w:rPr>
                <w:rFonts w:ascii="Cambria Math" w:eastAsia="Noto Sans Symbols" w:hAnsi="Cambria Math" w:cs="Noto Sans Symbols"/>
              </w:rPr>
              <m:t>t</m:t>
            </m:r>
          </m:sub>
        </m:sSub>
        <m:r>
          <w:rPr>
            <w:rFonts w:ascii="Cambria Math" w:eastAsia="Noto Sans Symbols" w:hAnsi="Cambria Math" w:cs="Noto Sans Symbols"/>
          </w:rPr>
          <m:t>-</m:t>
        </m:r>
        <m:sSub>
          <m:sSubPr>
            <m:ctrlPr>
              <w:rPr>
                <w:rFonts w:ascii="Cambria Math" w:eastAsia="Noto Sans Symbols" w:hAnsi="Cambria Math" w:cs="Noto Sans Symbols"/>
                <w:i/>
              </w:rPr>
            </m:ctrlPr>
          </m:sSubPr>
          <m:e>
            <m:r>
              <w:rPr>
                <w:rFonts w:ascii="Cambria Math" w:eastAsia="Noto Sans Symbols" w:hAnsi="Cambria Math" w:cs="Noto Sans Symbols"/>
              </w:rPr>
              <m:t>X</m:t>
            </m:r>
          </m:e>
          <m:sub>
            <m:r>
              <w:rPr>
                <w:rFonts w:ascii="Cambria Math" w:eastAsia="Noto Sans Symbols" w:hAnsi="Cambria Math" w:cs="Noto Sans Symbols"/>
              </w:rPr>
              <m:t>t-1</m:t>
            </m:r>
          </m:sub>
        </m:sSub>
      </m:oMath>
      <w:r>
        <w:rPr>
          <w:rFonts w:ascii="Noto Sans Symbols" w:eastAsia="Noto Sans Symbols" w:hAnsi="Noto Sans Symbols" w:cs="Noto Sans Symbols"/>
        </w:rPr>
        <w:tab/>
      </w:r>
      <w:r w:rsidR="00C037E9">
        <w:rPr>
          <w:rFonts w:ascii="Noto Sans Symbols" w:eastAsia="Noto Sans Symbols" w:hAnsi="Noto Sans Symbols" w:cs="Noto Sans Symbols"/>
        </w:rPr>
        <w:t xml:space="preserve">  </w:t>
      </w:r>
      <w:r>
        <w:rPr>
          <w:rFonts w:ascii="Noto Sans Symbols" w:eastAsia="Noto Sans Symbols" w:hAnsi="Noto Sans Symbols" w:cs="Noto Sans Symbols"/>
          <w:bCs/>
        </w:rPr>
        <w:t>(</w:t>
      </w:r>
      <w:r w:rsidR="00672302">
        <w:rPr>
          <w:rFonts w:ascii="Noto Sans Symbols" w:eastAsia="Noto Sans Symbols" w:hAnsi="Noto Sans Symbols" w:cs="Noto Sans Symbols"/>
          <w:bCs/>
        </w:rPr>
        <w:t>1</w:t>
      </w:r>
      <w:r>
        <w:rPr>
          <w:rFonts w:ascii="Noto Sans Symbols" w:eastAsia="Noto Sans Symbols" w:hAnsi="Noto Sans Symbols" w:cs="Noto Sans Symbols"/>
          <w:bCs/>
        </w:rPr>
        <w:t>)</w:t>
      </w:r>
    </w:p>
    <w:p w14:paraId="4FEA2D61" w14:textId="77777777" w:rsidR="00B5475D" w:rsidRDefault="00000000" w:rsidP="00ED0BCF">
      <w:pPr>
        <w:spacing w:line="228" w:lineRule="auto"/>
        <w:ind w:left="426"/>
        <w:jc w:val="both"/>
      </w:pPr>
      <w:r w:rsidRPr="0019788B">
        <w:t>Where:</w:t>
      </w:r>
    </w:p>
    <w:p w14:paraId="65DBD4A7" w14:textId="77777777" w:rsidR="00B5475D" w:rsidRPr="002B34AC" w:rsidRDefault="00000000" w:rsidP="00ED0BCF">
      <w:pPr>
        <w:tabs>
          <w:tab w:val="left" w:pos="851"/>
        </w:tabs>
        <w:spacing w:line="228" w:lineRule="auto"/>
        <w:ind w:left="426"/>
        <w:jc w:val="both"/>
      </w:pPr>
      <m:oMath>
        <m:sSub>
          <m:sSubPr>
            <m:ctrlPr>
              <w:rPr>
                <w:rFonts w:ascii="Cambria Math" w:hAnsi="Cambria Math"/>
              </w:rPr>
            </m:ctrlPr>
          </m:sSubPr>
          <m:e>
            <m:r>
              <w:rPr>
                <w:rFonts w:ascii="Cambria Math" w:hAnsi="Cambria Math"/>
              </w:rPr>
              <m:t>X</m:t>
            </m:r>
            <m:r>
              <m:rPr>
                <m:sty m:val="p"/>
              </m:rPr>
              <w:rPr>
                <w:rFonts w:ascii="Cambria Math" w:hAnsi="Cambria Math"/>
              </w:rPr>
              <m:t>'</m:t>
            </m:r>
          </m:e>
          <m:sub>
            <m:r>
              <w:rPr>
                <w:rFonts w:ascii="Cambria Math" w:hAnsi="Cambria Math"/>
              </w:rPr>
              <m:t>t</m:t>
            </m:r>
          </m:sub>
        </m:sSub>
      </m:oMath>
      <w:r>
        <w:tab/>
        <w:t xml:space="preserve">: </w:t>
      </w:r>
      <w:r w:rsidR="0019788B" w:rsidRPr="0019788B">
        <w:t>First differencing</w:t>
      </w:r>
    </w:p>
    <w:p w14:paraId="3D79F285" w14:textId="77777777" w:rsidR="00B5475D" w:rsidRDefault="00000000" w:rsidP="00ED0BCF">
      <w:pPr>
        <w:tabs>
          <w:tab w:val="left" w:pos="851"/>
        </w:tabs>
        <w:spacing w:line="228" w:lineRule="auto"/>
        <w:ind w:left="426"/>
        <w:jc w:val="both"/>
      </w:pPr>
      <m:oMath>
        <m:sSub>
          <m:sSubPr>
            <m:ctrlPr>
              <w:rPr>
                <w:rFonts w:ascii="Cambria Math" w:eastAsia="Noto Sans Symbols" w:hAnsi="Cambria Math" w:cs="Noto Sans Symbols"/>
                <w:i/>
              </w:rPr>
            </m:ctrlPr>
          </m:sSubPr>
          <m:e>
            <m:r>
              <w:rPr>
                <w:rFonts w:ascii="Cambria Math" w:eastAsia="Noto Sans Symbols" w:hAnsi="Cambria Math" w:cs="Noto Sans Symbols"/>
              </w:rPr>
              <m:t>X</m:t>
            </m:r>
          </m:e>
          <m:sub>
            <m:r>
              <w:rPr>
                <w:rFonts w:ascii="Cambria Math" w:eastAsia="Noto Sans Symbols" w:hAnsi="Cambria Math" w:cs="Noto Sans Symbols"/>
              </w:rPr>
              <m:t>t</m:t>
            </m:r>
          </m:sub>
        </m:sSub>
      </m:oMath>
      <w:r>
        <w:rPr>
          <w:i/>
        </w:rPr>
        <w:tab/>
      </w:r>
      <w:r w:rsidRPr="002B34AC">
        <w:rPr>
          <w:iCs/>
        </w:rPr>
        <w:t>:</w:t>
      </w:r>
      <w:r>
        <w:rPr>
          <w:iCs/>
        </w:rPr>
        <w:t xml:space="preserve"> </w:t>
      </w:r>
      <w:r w:rsidR="0019788B" w:rsidRPr="0019788B">
        <w:rPr>
          <w:i/>
          <w:iCs/>
        </w:rPr>
        <w:t>X</w:t>
      </w:r>
      <w:r w:rsidR="0019788B" w:rsidRPr="0019788B">
        <w:t xml:space="preserve"> value at order </w:t>
      </w:r>
      <w:r w:rsidR="0019788B" w:rsidRPr="0019788B">
        <w:rPr>
          <w:i/>
          <w:iCs/>
        </w:rPr>
        <w:t>t</w:t>
      </w:r>
    </w:p>
    <w:p w14:paraId="0A59A8B8" w14:textId="77777777" w:rsidR="0019788B" w:rsidRDefault="00000000" w:rsidP="0019788B">
      <w:pPr>
        <w:tabs>
          <w:tab w:val="left" w:pos="288"/>
          <w:tab w:val="left" w:pos="851"/>
        </w:tabs>
        <w:spacing w:after="120" w:line="228" w:lineRule="auto"/>
        <w:ind w:left="426"/>
        <w:jc w:val="both"/>
      </w:pPr>
      <m:oMath>
        <m:sSub>
          <m:sSubPr>
            <m:ctrlPr>
              <w:rPr>
                <w:rFonts w:ascii="Cambria Math" w:eastAsia="Noto Sans Symbols" w:hAnsi="Cambria Math" w:cs="Noto Sans Symbols"/>
                <w:i/>
              </w:rPr>
            </m:ctrlPr>
          </m:sSubPr>
          <m:e>
            <m:r>
              <w:rPr>
                <w:rFonts w:ascii="Cambria Math" w:eastAsia="Noto Sans Symbols" w:hAnsi="Cambria Math" w:cs="Noto Sans Symbols"/>
              </w:rPr>
              <m:t>X</m:t>
            </m:r>
          </m:e>
          <m:sub>
            <m:r>
              <w:rPr>
                <w:rFonts w:ascii="Cambria Math" w:eastAsia="Noto Sans Symbols" w:hAnsi="Cambria Math" w:cs="Noto Sans Symbols"/>
              </w:rPr>
              <m:t>t-1</m:t>
            </m:r>
          </m:sub>
        </m:sSub>
      </m:oMath>
      <w:r w:rsidR="00B5475D">
        <w:rPr>
          <w:i/>
          <w:iCs/>
        </w:rPr>
        <w:tab/>
      </w:r>
      <w:r w:rsidR="00B5475D">
        <w:t xml:space="preserve">: </w:t>
      </w:r>
      <w:r w:rsidRPr="0019788B">
        <w:rPr>
          <w:i/>
          <w:iCs/>
        </w:rPr>
        <w:t>X</w:t>
      </w:r>
      <w:r w:rsidRPr="0019788B">
        <w:t xml:space="preserve"> value at order </w:t>
      </w:r>
      <w:r w:rsidRPr="0019788B">
        <w:rPr>
          <w:i/>
          <w:iCs/>
        </w:rPr>
        <w:t>t-1</w:t>
      </w:r>
    </w:p>
    <w:p w14:paraId="2CAA4A80" w14:textId="77777777" w:rsidR="0019788B" w:rsidRDefault="00000000" w:rsidP="0019788B">
      <w:pPr>
        <w:pStyle w:val="ListParagraph"/>
        <w:numPr>
          <w:ilvl w:val="0"/>
          <w:numId w:val="18"/>
        </w:numPr>
        <w:tabs>
          <w:tab w:val="left" w:pos="288"/>
        </w:tabs>
        <w:spacing w:after="120" w:line="228" w:lineRule="auto"/>
        <w:ind w:left="426" w:hanging="284"/>
        <w:jc w:val="both"/>
      </w:pPr>
      <w:r w:rsidRPr="0019788B">
        <w:t>Once the data is stationary, then use the Autocorrelation Function (ACF) and Partial Autocorrelation Function (PACF) plots to identify the model. This step is done by placing seasonally patterned data by specifying the ACF plot and PACF plot to determine the order of the model used.</w:t>
      </w:r>
    </w:p>
    <w:p w14:paraId="1BF8D80F" w14:textId="77777777" w:rsidR="000645C7" w:rsidRDefault="00000000" w:rsidP="00832D9C">
      <w:pPr>
        <w:pStyle w:val="Heading2"/>
        <w:numPr>
          <w:ilvl w:val="1"/>
          <w:numId w:val="10"/>
        </w:numPr>
      </w:pPr>
      <w:r w:rsidRPr="0019788B">
        <w:t>Model Parameter Estimation</w:t>
      </w:r>
    </w:p>
    <w:p w14:paraId="34857CD5" w14:textId="77777777" w:rsidR="000645C7" w:rsidRDefault="00000000" w:rsidP="00832D9C">
      <w:pPr>
        <w:ind w:firstLine="288"/>
        <w:jc w:val="both"/>
      </w:pPr>
      <w:r w:rsidRPr="0019788B">
        <w:t>At this stage, the parameters of Moving Average (MA), Autoregressive (AR), seasonal, and non-seasonal are estimated, and the significance of each parameter is tested. If there is a model whose parameters are not significant, it is declared not to pass the test. Each insignificant parameter will be eliminated to obtain a model with substantial parameters.</w:t>
      </w:r>
      <w:r w:rsidR="0012167B">
        <w:t xml:space="preserve"> </w:t>
      </w:r>
    </w:p>
    <w:p w14:paraId="0012D8DD" w14:textId="77777777" w:rsidR="00832D9C" w:rsidRDefault="00000000" w:rsidP="00832D9C">
      <w:pPr>
        <w:pStyle w:val="Heading2"/>
        <w:numPr>
          <w:ilvl w:val="1"/>
          <w:numId w:val="10"/>
        </w:numPr>
      </w:pPr>
      <w:r w:rsidRPr="00CB51E7">
        <w:t>Diagnostic Checking</w:t>
      </w:r>
    </w:p>
    <w:p w14:paraId="6E1655D2" w14:textId="77777777" w:rsidR="00DF7AC9" w:rsidRDefault="00000000" w:rsidP="00EE5680">
      <w:pPr>
        <w:ind w:firstLine="288"/>
        <w:jc w:val="both"/>
      </w:pPr>
      <w:r w:rsidRPr="0019788B">
        <w:t>Diagnostic Checking testing in this study determines whether the model used is suitable and feasible for forecasting. The appropriate conjecture model has properties like the original data. This test is carried out by conducting a white noise diagnostic test and a standard distribution test using model diagnostics. The best model is that the residuals obtained are expected to have white noise properties, namely residuals that follow a normal distribution.</w:t>
      </w:r>
    </w:p>
    <w:p w14:paraId="69E75AB0" w14:textId="77777777" w:rsidR="00EB2A17" w:rsidRDefault="00000000" w:rsidP="0019788B">
      <w:pPr>
        <w:pStyle w:val="Heading2"/>
        <w:numPr>
          <w:ilvl w:val="1"/>
          <w:numId w:val="10"/>
        </w:numPr>
      </w:pPr>
      <w:r w:rsidRPr="0019788B">
        <w:t>Prediction</w:t>
      </w:r>
    </w:p>
    <w:p w14:paraId="6B8F1416" w14:textId="77777777" w:rsidR="0019788B" w:rsidRDefault="00000000" w:rsidP="00EB2A17">
      <w:pPr>
        <w:tabs>
          <w:tab w:val="left" w:pos="288"/>
        </w:tabs>
        <w:spacing w:after="120" w:line="228" w:lineRule="auto"/>
        <w:ind w:firstLine="288"/>
        <w:jc w:val="both"/>
      </w:pPr>
      <w:r w:rsidRPr="0019788B">
        <w:t xml:space="preserve">In this research, the prediction stage is carried out with two models, namely ARIMA and SARIMA. The ARIMA model is a time series analysis approach using autocorrelation and time series residual variation. The ARIMA model arrangement consists of Autoregressive (AR), Moving Average (MA) and Integrated (I) models. Integrated shows the value of the differencing order of data from non-stationary to stationary. The general form of the ARIMA model </w:t>
      </w:r>
      <w:r>
        <w:fldChar w:fldCharType="begin" w:fldLock="1"/>
      </w:r>
      <w:r>
        <w:instrText>ADDIN CSL_CITATION {"citationItems":[{"id":"ITEM-1","itemData":{"abstract":"Penelitian ini bertujuan untuk mengetahui karakteristik data harga saham harian PT. Telkom, Tbk, membuat model dan melakukan prediksi harga saham PT. Telkom, Tbk bulan Mei sampai Juni tahun 2011. Data yang digunakan adalah data sekunder yang diambil dari website perusahaan PT. Telkom, Tbk sejak Januari 2010 sampai 30 Maret 2011 untuk memprediksi harga saham Mei sampai Juni 2011. Hasil penelitian menunjukkan bahwa model untuk harga saham maksimum adalah ARIMA (3,1,3) dengan persamaan - - - – - – - – - - - . Sedangkan model harga saham minimum adalah ARIMA (3,1,1) dengan persamaan - – - – - - - - . Prediksi harga saham maksimum dan minimum PT. Telkom, Tbk untuk bulan Mei sampai Juni didapatkan harga saham berkisar antara Rp. 7.099 sampai Rp. 7.282.","author":[{"dropping-particle":"","family":"Djoni","given":"Hatidja","non-dropping-particle":"","parse-names":false,"suffix":""}],"container-title":"Jurnal Ilmiah Sains","id":"ITEM-1","issue":"1","issued":{"date-parts":[["2011"]]},"page":"116-123","title":"Penerapan Model ARIMA untuk Memprediksi Harga Saham PT. Telkom Tbk.","type":"article-journal","volume":"11"},"uris":["http://www.mendeley.com/documents/?uuid=5057a42c-9b8b-4639-98ac-e2425973386e"]}],"mendeley":{"formattedCitation":"[30]","plainTextFormattedCitation":"[30]","previouslyFormattedCitation":"[32]"},"properties":{"noteIndex":0},"schema":"https://github.com/citation-style-language/schema/raw/master/csl-citation.json"}</w:instrText>
      </w:r>
      <w:r>
        <w:fldChar w:fldCharType="separate"/>
      </w:r>
      <w:r w:rsidRPr="009622A3">
        <w:rPr>
          <w:noProof/>
        </w:rPr>
        <w:t>[30]</w:t>
      </w:r>
      <w:r>
        <w:fldChar w:fldCharType="end"/>
      </w:r>
      <w:r w:rsidRPr="0019788B">
        <w:t xml:space="preserve"> is expressed in equation (2).</w:t>
      </w:r>
    </w:p>
    <w:bookmarkStart w:id="4" w:name="_Hlk143867092"/>
    <w:p w14:paraId="6B027D63" w14:textId="77777777" w:rsidR="00EB2A17" w:rsidRPr="001C1111" w:rsidRDefault="00000000" w:rsidP="00EB2A17">
      <w:pPr>
        <w:tabs>
          <w:tab w:val="left" w:pos="4678"/>
        </w:tabs>
        <w:spacing w:after="120" w:line="228" w:lineRule="auto"/>
        <w:ind w:left="709" w:firstLine="288"/>
      </w:pPr>
      <m:oMath>
        <m:sSub>
          <m:sSubPr>
            <m:ctrlPr>
              <w:rPr>
                <w:rFonts w:ascii="Cambria Math" w:hAnsi="Cambria Math"/>
              </w:rPr>
            </m:ctrlPr>
          </m:sSubPr>
          <m:e>
            <m:r>
              <m:rPr>
                <m:sty m:val="p"/>
              </m:rPr>
              <w:rPr>
                <w:rFonts w:ascii="Cambria Math" w:hAnsi="Cambria Math"/>
              </w:rPr>
              <m:t>Φ</m:t>
            </m:r>
          </m:e>
          <m:sub>
            <m:r>
              <w:rPr>
                <w:rFonts w:ascii="Cambria Math" w:hAnsi="Cambria Math"/>
              </w:rPr>
              <m:t xml:space="preserve">p </m:t>
            </m:r>
          </m:sub>
        </m:sSub>
        <m:d>
          <m:dPr>
            <m:ctrlPr>
              <w:rPr>
                <w:rFonts w:ascii="Cambria Math" w:eastAsia="Cambria Math" w:hAnsi="Cambria Math" w:cs="Cambria Math"/>
                <w:i/>
              </w:rPr>
            </m:ctrlPr>
          </m:dPr>
          <m:e>
            <m:r>
              <w:rPr>
                <w:rFonts w:ascii="Cambria Math" w:eastAsia="Cambria Math" w:hAnsi="Cambria Math" w:cs="Cambria Math"/>
              </w:rPr>
              <m:t>B</m:t>
            </m:r>
          </m:e>
        </m:d>
        <m:sSup>
          <m:sSupPr>
            <m:ctrlPr>
              <w:rPr>
                <w:rFonts w:ascii="Cambria Math" w:eastAsia="Cambria Math" w:hAnsi="Cambria Math" w:cs="Cambria Math"/>
                <w:i/>
              </w:rPr>
            </m:ctrlPr>
          </m:sSupPr>
          <m:e>
            <m:r>
              <w:rPr>
                <w:rFonts w:ascii="Cambria Math" w:eastAsia="Cambria Math" w:hAnsi="Cambria Math" w:cs="Cambria Math"/>
              </w:rPr>
              <m:t>∇</m:t>
            </m:r>
          </m:e>
          <m:sup>
            <m:r>
              <w:rPr>
                <w:rFonts w:ascii="Cambria Math" w:eastAsia="Cambria Math" w:hAnsi="Cambria Math" w:cs="Cambria Math"/>
              </w:rPr>
              <m:t>d</m:t>
            </m:r>
          </m:sup>
        </m:sSup>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t</m:t>
            </m:r>
          </m:sub>
        </m:sSub>
        <m:r>
          <w:rPr>
            <w:rFonts w:ascii="Cambria Math" w:eastAsia="Cambria Math" w:hAnsi="Cambria Math" w:cs="Cambria Math"/>
          </w:rPr>
          <m:t xml:space="preserve">=ξ+ </m:t>
        </m:r>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q</m:t>
            </m:r>
          </m:sub>
        </m:sSub>
        <m:r>
          <m:rPr>
            <m:sty m:val="p"/>
          </m:rPr>
          <w:rPr>
            <w:rFonts w:ascii="Cambria Math" w:hAnsi="Cambria Math"/>
          </w:rPr>
          <m:t xml:space="preserve"> </m:t>
        </m:r>
        <m:d>
          <m:dPr>
            <m:ctrlPr>
              <w:rPr>
                <w:rFonts w:ascii="Cambria Math" w:eastAsia="Cambria Math" w:hAnsi="Cambria Math" w:cs="Cambria Math"/>
                <w:i/>
              </w:rPr>
            </m:ctrlPr>
          </m:dPr>
          <m:e>
            <m:r>
              <w:rPr>
                <w:rFonts w:ascii="Cambria Math" w:eastAsia="Cambria Math" w:hAnsi="Cambria Math" w:cs="Cambria Math"/>
              </w:rPr>
              <m:t>B</m:t>
            </m:r>
          </m:e>
        </m:d>
        <m:r>
          <w:rPr>
            <w:rFonts w:ascii="Cambria Math" w:eastAsia="Cambria Math" w:hAnsi="Cambria Math" w:cs="Cambria Math"/>
          </w:rPr>
          <m:t xml:space="preserve"> </m:t>
        </m:r>
        <m:sSub>
          <m:sSubPr>
            <m:ctrlPr>
              <w:rPr>
                <w:rFonts w:ascii="Cambria Math" w:eastAsia="Cambria Math" w:hAnsi="Cambria Math" w:cs="Cambria Math"/>
                <w:i/>
              </w:rPr>
            </m:ctrlPr>
          </m:sSubPr>
          <m:e>
            <m:r>
              <w:rPr>
                <w:rFonts w:ascii="Cambria Math" w:eastAsia="Cambria Math" w:hAnsi="Cambria Math" w:cs="Cambria Math"/>
              </w:rPr>
              <m:t>ε</m:t>
            </m:r>
          </m:e>
          <m:sub>
            <m:r>
              <w:rPr>
                <w:rFonts w:ascii="Cambria Math" w:eastAsia="Cambria Math" w:hAnsi="Cambria Math" w:cs="Cambria Math"/>
              </w:rPr>
              <m:t>t</m:t>
            </m:r>
          </m:sub>
        </m:sSub>
      </m:oMath>
      <w:r>
        <w:rPr>
          <w:rFonts w:ascii="Noto Sans Symbols" w:eastAsia="Noto Sans Symbols" w:hAnsi="Noto Sans Symbols" w:cs="Noto Sans Symbols"/>
        </w:rPr>
        <w:t xml:space="preserve"> </w:t>
      </w:r>
      <w:r>
        <w:rPr>
          <w:rFonts w:ascii="Noto Sans Symbols" w:eastAsia="Noto Sans Symbols" w:hAnsi="Noto Sans Symbols" w:cs="Noto Sans Symbols"/>
        </w:rPr>
        <w:tab/>
      </w:r>
      <w:r>
        <w:rPr>
          <w:rFonts w:ascii="Noto Sans Symbols" w:eastAsia="Noto Sans Symbols" w:hAnsi="Noto Sans Symbols" w:cs="Noto Sans Symbols"/>
          <w:bCs/>
        </w:rPr>
        <w:t>(</w:t>
      </w:r>
      <w:r w:rsidR="00672302">
        <w:rPr>
          <w:rFonts w:ascii="Noto Sans Symbols" w:eastAsia="Noto Sans Symbols" w:hAnsi="Noto Sans Symbols" w:cs="Noto Sans Symbols"/>
          <w:bCs/>
        </w:rPr>
        <w:t>2</w:t>
      </w:r>
      <w:r>
        <w:rPr>
          <w:rFonts w:ascii="Noto Sans Symbols" w:eastAsia="Noto Sans Symbols" w:hAnsi="Noto Sans Symbols" w:cs="Noto Sans Symbols"/>
          <w:bCs/>
        </w:rPr>
        <w:t>)</w:t>
      </w:r>
    </w:p>
    <w:p w14:paraId="5991204C" w14:textId="77777777" w:rsidR="00EB2A17" w:rsidRDefault="00000000" w:rsidP="00EB2A17">
      <w:pPr>
        <w:tabs>
          <w:tab w:val="left" w:pos="288"/>
        </w:tabs>
        <w:spacing w:line="228" w:lineRule="auto"/>
        <w:jc w:val="both"/>
      </w:pPr>
      <w:r>
        <w:t>Dimana:</w:t>
      </w:r>
    </w:p>
    <w:p w14:paraId="2F90DBA7" w14:textId="77777777" w:rsidR="00EB2A17" w:rsidRPr="002B34AC" w:rsidRDefault="00000000" w:rsidP="00EB2A17">
      <w:pPr>
        <w:tabs>
          <w:tab w:val="left" w:pos="288"/>
        </w:tabs>
        <w:spacing w:line="228" w:lineRule="auto"/>
        <w:jc w:val="both"/>
      </w:pPr>
      <m:oMath>
        <m:sSub>
          <m:sSubPr>
            <m:ctrlPr>
              <w:rPr>
                <w:rFonts w:ascii="Cambria Math" w:hAnsi="Cambria Math"/>
              </w:rPr>
            </m:ctrlPr>
          </m:sSubPr>
          <m:e>
            <m:r>
              <m:rPr>
                <m:sty m:val="p"/>
              </m:rPr>
              <w:rPr>
                <w:rFonts w:ascii="Cambria Math" w:hAnsi="Cambria Math"/>
              </w:rPr>
              <m:t>Φ</m:t>
            </m:r>
          </m:e>
          <m:sub>
            <m:r>
              <w:rPr>
                <w:rFonts w:ascii="Cambria Math" w:hAnsi="Cambria Math"/>
              </w:rPr>
              <m:t xml:space="preserve">p </m:t>
            </m:r>
          </m:sub>
        </m:sSub>
      </m:oMath>
      <w:r>
        <w:tab/>
        <w:t xml:space="preserve">: </w:t>
      </w:r>
      <w:r w:rsidR="0019788B" w:rsidRPr="0019788B">
        <w:t xml:space="preserve">Autoregressive parameters </w:t>
      </w:r>
    </w:p>
    <w:p w14:paraId="6347598D" w14:textId="77777777" w:rsidR="00EB2A17" w:rsidRDefault="00000000" w:rsidP="00EB2A17">
      <w:pPr>
        <w:tabs>
          <w:tab w:val="left" w:pos="288"/>
        </w:tabs>
        <w:spacing w:line="228" w:lineRule="auto"/>
        <w:jc w:val="both"/>
      </w:pPr>
      <m:oMath>
        <m:r>
          <w:rPr>
            <w:rFonts w:ascii="Cambria Math" w:eastAsia="Cambria Math" w:hAnsi="Cambria Math" w:cs="Cambria Math"/>
          </w:rPr>
          <m:t>B</m:t>
        </m:r>
      </m:oMath>
      <w:r>
        <w:rPr>
          <w:i/>
        </w:rPr>
        <w:tab/>
      </w:r>
      <w:r w:rsidRPr="002B34AC">
        <w:rPr>
          <w:iCs/>
        </w:rPr>
        <w:t>:</w:t>
      </w:r>
      <w:r>
        <w:rPr>
          <w:iCs/>
        </w:rPr>
        <w:t xml:space="preserve"> </w:t>
      </w:r>
      <w:r w:rsidR="0019788B" w:rsidRPr="0019788B">
        <w:t>Backward sliding operator</w:t>
      </w:r>
    </w:p>
    <w:p w14:paraId="434365CA" w14:textId="77777777" w:rsidR="00EB2A17" w:rsidRPr="002B34AC" w:rsidRDefault="00000000" w:rsidP="00EB2A17">
      <w:pPr>
        <w:tabs>
          <w:tab w:val="left" w:pos="288"/>
        </w:tabs>
        <w:spacing w:line="228" w:lineRule="auto"/>
        <w:jc w:val="both"/>
        <w:rPr>
          <w:i/>
          <w:iCs/>
        </w:rPr>
      </w:pPr>
      <w:r w:rsidRPr="002B34AC">
        <w:rPr>
          <w:i/>
          <w:iCs/>
        </w:rPr>
        <w:t>d</w:t>
      </w:r>
      <w:r>
        <w:rPr>
          <w:i/>
          <w:iCs/>
        </w:rPr>
        <w:tab/>
      </w:r>
      <w:r>
        <w:t xml:space="preserve">: </w:t>
      </w:r>
      <w:r w:rsidR="0019788B" w:rsidRPr="0019788B">
        <w:t>Differencing Parameter</w:t>
      </w:r>
      <w:r w:rsidRPr="002B34AC">
        <w:rPr>
          <w:i/>
          <w:iCs/>
        </w:rPr>
        <w:tab/>
      </w:r>
    </w:p>
    <w:p w14:paraId="0BA4E1FC" w14:textId="77777777" w:rsidR="00EB2A17" w:rsidRDefault="00000000" w:rsidP="00EB2A17">
      <w:pPr>
        <w:tabs>
          <w:tab w:val="left" w:pos="288"/>
        </w:tabs>
        <w:spacing w:line="228" w:lineRule="auto"/>
        <w:ind w:left="288" w:hanging="288"/>
        <w:jc w:val="both"/>
        <w:rPr>
          <w:i/>
          <w:iCs/>
        </w:rPr>
      </w:pPr>
      <m:oMath>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t</m:t>
            </m:r>
          </m:sub>
        </m:sSub>
      </m:oMath>
      <w:r>
        <w:tab/>
        <w:t xml:space="preserve">: </w:t>
      </w:r>
      <w:r w:rsidR="0019788B" w:rsidRPr="0019788B">
        <w:t xml:space="preserve">Observation value at time </w:t>
      </w:r>
      <w:r w:rsidR="0019788B" w:rsidRPr="0019788B">
        <w:rPr>
          <w:i/>
          <w:iCs/>
        </w:rPr>
        <w:t>t</w:t>
      </w:r>
    </w:p>
    <w:bookmarkEnd w:id="4"/>
    <w:p w14:paraId="4F7E2DBA" w14:textId="77777777" w:rsidR="00EB2A17" w:rsidRDefault="00000000" w:rsidP="00EB2A17">
      <w:pPr>
        <w:tabs>
          <w:tab w:val="left" w:pos="288"/>
        </w:tabs>
        <w:spacing w:line="228" w:lineRule="auto"/>
        <w:jc w:val="both"/>
      </w:pPr>
      <m:oMath>
        <m:r>
          <w:rPr>
            <w:rFonts w:ascii="Cambria Math" w:eastAsia="Cambria Math" w:hAnsi="Cambria Math" w:cs="Cambria Math"/>
          </w:rPr>
          <m:t>ξ</m:t>
        </m:r>
      </m:oMath>
      <w:r>
        <w:rPr>
          <w:i/>
        </w:rPr>
        <w:tab/>
      </w:r>
      <w:r>
        <w:rPr>
          <w:iCs/>
        </w:rPr>
        <w:t xml:space="preserve">: </w:t>
      </w:r>
      <w:r w:rsidR="0019788B" w:rsidRPr="0019788B">
        <w:t>Constant parameters</w:t>
      </w:r>
    </w:p>
    <w:p w14:paraId="36AD26B7" w14:textId="77777777" w:rsidR="00EB2A17" w:rsidRDefault="00000000" w:rsidP="00EB2A17">
      <w:pPr>
        <w:tabs>
          <w:tab w:val="left" w:pos="288"/>
        </w:tabs>
        <w:spacing w:line="228" w:lineRule="auto"/>
        <w:jc w:val="both"/>
      </w:pPr>
      <m:oMath>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q</m:t>
            </m:r>
          </m:sub>
        </m:sSub>
      </m:oMath>
      <w:r>
        <w:tab/>
        <w:t xml:space="preserve">: </w:t>
      </w:r>
      <w:r w:rsidR="0019788B" w:rsidRPr="0019788B">
        <w:t>Moving average parameters</w:t>
      </w:r>
    </w:p>
    <w:p w14:paraId="2BB314C5" w14:textId="77777777" w:rsidR="00EB2A17" w:rsidRDefault="00000000" w:rsidP="003F567A">
      <w:pPr>
        <w:tabs>
          <w:tab w:val="left" w:pos="288"/>
        </w:tabs>
        <w:spacing w:after="240"/>
        <w:jc w:val="both"/>
      </w:pPr>
      <m:oMath>
        <m:sSub>
          <m:sSubPr>
            <m:ctrlPr>
              <w:rPr>
                <w:rFonts w:ascii="Cambria Math" w:eastAsia="Cambria Math" w:hAnsi="Cambria Math" w:cs="Cambria Math"/>
                <w:i/>
              </w:rPr>
            </m:ctrlPr>
          </m:sSubPr>
          <m:e>
            <m:r>
              <w:rPr>
                <w:rFonts w:ascii="Cambria Math" w:eastAsia="Cambria Math" w:hAnsi="Cambria Math" w:cs="Cambria Math"/>
              </w:rPr>
              <m:t>ε</m:t>
            </m:r>
          </m:e>
          <m:sub>
            <m:r>
              <w:rPr>
                <w:rFonts w:ascii="Cambria Math" w:eastAsia="Cambria Math" w:hAnsi="Cambria Math" w:cs="Cambria Math"/>
              </w:rPr>
              <m:t>t</m:t>
            </m:r>
          </m:sub>
        </m:sSub>
      </m:oMath>
      <w:r>
        <w:tab/>
        <w:t xml:space="preserve">: </w:t>
      </w:r>
      <w:r w:rsidR="0019788B" w:rsidRPr="0019788B">
        <w:t xml:space="preserve">Residual value </w:t>
      </w:r>
      <w:r>
        <w:t>(</w:t>
      </w:r>
      <w:r w:rsidRPr="002B34AC">
        <w:rPr>
          <w:i/>
          <w:iCs/>
        </w:rPr>
        <w:t>error</w:t>
      </w:r>
      <w:r w:rsidR="003F567A">
        <w:t>)</w:t>
      </w:r>
    </w:p>
    <w:p w14:paraId="10309EB0" w14:textId="77777777" w:rsidR="003F567A" w:rsidRDefault="00000000" w:rsidP="00EB2A17">
      <w:pPr>
        <w:tabs>
          <w:tab w:val="left" w:pos="288"/>
        </w:tabs>
        <w:spacing w:after="120" w:line="228" w:lineRule="auto"/>
        <w:ind w:firstLine="288"/>
        <w:jc w:val="both"/>
      </w:pPr>
      <w:r w:rsidRPr="003F567A">
        <w:t>While the SARIMA model on time series data to identify patterns in past historical data to estimate future variables. The SARIMA (</w:t>
      </w:r>
      <w:r w:rsidRPr="003F567A">
        <w:rPr>
          <w:i/>
          <w:iCs/>
        </w:rPr>
        <w:t>p,d,q</w:t>
      </w:r>
      <w:r w:rsidRPr="003F567A">
        <w:t>) (</w:t>
      </w:r>
      <w:r w:rsidRPr="003F567A">
        <w:rPr>
          <w:i/>
          <w:iCs/>
        </w:rPr>
        <w:t>P,D,Q</w:t>
      </w:r>
      <w:r w:rsidRPr="003F567A">
        <w:t>)</w:t>
      </w:r>
      <w:r w:rsidRPr="003F567A">
        <w:rPr>
          <w:i/>
          <w:iCs/>
          <w:vertAlign w:val="superscript"/>
        </w:rPr>
        <w:t>s</w:t>
      </w:r>
      <w:r w:rsidRPr="003F567A">
        <w:t xml:space="preserve"> model equation with mean where </w:t>
      </w:r>
      <w:r w:rsidRPr="003F567A">
        <w:rPr>
          <w:i/>
          <w:iCs/>
        </w:rPr>
        <w:t>p,d,q, P, D,</w:t>
      </w:r>
      <w:r w:rsidRPr="003F567A">
        <w:t xml:space="preserve"> and </w:t>
      </w:r>
      <w:r w:rsidRPr="003F567A">
        <w:rPr>
          <w:i/>
          <w:iCs/>
        </w:rPr>
        <w:t>Q</w:t>
      </w:r>
      <w:r w:rsidRPr="003F567A">
        <w:t xml:space="preserve"> are integers and (</w:t>
      </w:r>
      <w:r w:rsidRPr="003F567A">
        <w:rPr>
          <w:i/>
          <w:iCs/>
        </w:rPr>
        <w:t>s</w:t>
      </w:r>
      <w:r w:rsidRPr="003F567A">
        <w:t xml:space="preserve">) is periodicity. The general </w:t>
      </w:r>
      <w:r w:rsidRPr="003F567A">
        <w:lastRenderedPageBreak/>
        <w:t>form of the ARIMA model is expressed in equation (3).</w:t>
      </w:r>
    </w:p>
    <w:p w14:paraId="3444869A" w14:textId="77777777" w:rsidR="00EB2A17" w:rsidRPr="001C1111" w:rsidRDefault="00000000" w:rsidP="00EB2A17">
      <w:pPr>
        <w:tabs>
          <w:tab w:val="left" w:pos="4678"/>
        </w:tabs>
        <w:spacing w:after="120" w:line="228" w:lineRule="auto"/>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Φ</m:t>
                </m:r>
              </m:e>
              <m:sub>
                <m:r>
                  <w:rPr>
                    <w:rFonts w:ascii="Cambria Math" w:hAnsi="Cambria Math"/>
                  </w:rPr>
                  <m:t xml:space="preserve">p </m:t>
                </m:r>
              </m:sub>
            </m:sSub>
            <m:d>
              <m:dPr>
                <m:ctrlPr>
                  <w:rPr>
                    <w:rFonts w:ascii="Cambria Math" w:eastAsia="Cambria Math" w:hAnsi="Cambria Math" w:cs="Cambria Math"/>
                    <w:i/>
                  </w:rPr>
                </m:ctrlPr>
              </m:dPr>
              <m:e>
                <m:sSup>
                  <m:sSupPr>
                    <m:ctrlPr>
                      <w:rPr>
                        <w:rFonts w:ascii="Cambria Math" w:eastAsia="Cambria Math" w:hAnsi="Cambria Math" w:cs="Cambria Math"/>
                        <w:i/>
                      </w:rPr>
                    </m:ctrlPr>
                  </m:sSupPr>
                  <m:e>
                    <m:r>
                      <w:rPr>
                        <w:rFonts w:ascii="Cambria Math" w:eastAsia="Cambria Math" w:hAnsi="Cambria Math" w:cs="Cambria Math"/>
                      </w:rPr>
                      <m:t>B</m:t>
                    </m:r>
                  </m:e>
                  <m:sup>
                    <m:r>
                      <w:rPr>
                        <w:rFonts w:ascii="Cambria Math" w:eastAsia="Cambria Math" w:hAnsi="Cambria Math" w:cs="Cambria Math"/>
                      </w:rPr>
                      <m:t>s</m:t>
                    </m:r>
                  </m:sup>
                </m:sSup>
              </m:e>
            </m:d>
            <m:r>
              <m:rPr>
                <m:sty m:val="p"/>
              </m:rPr>
              <w:rPr>
                <w:rFonts w:ascii="Cambria Math" w:hAnsi="Cambria Math"/>
              </w:rPr>
              <m:t>Φ</m:t>
            </m:r>
          </m:e>
          <m:sub>
            <m:r>
              <w:rPr>
                <w:rFonts w:ascii="Cambria Math" w:hAnsi="Cambria Math"/>
              </w:rPr>
              <m:t xml:space="preserve">p </m:t>
            </m:r>
          </m:sub>
        </m:sSub>
        <m:d>
          <m:dPr>
            <m:ctrlPr>
              <w:rPr>
                <w:rFonts w:ascii="Cambria Math" w:eastAsia="Cambria Math" w:hAnsi="Cambria Math" w:cs="Cambria Math"/>
                <w:i/>
              </w:rPr>
            </m:ctrlPr>
          </m:dPr>
          <m:e>
            <m:r>
              <w:rPr>
                <w:rFonts w:ascii="Cambria Math" w:eastAsia="Cambria Math" w:hAnsi="Cambria Math" w:cs="Cambria Math"/>
              </w:rPr>
              <m:t>B</m:t>
            </m:r>
          </m:e>
        </m:d>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1-B</m:t>
                </m:r>
              </m:e>
            </m:d>
          </m:e>
          <m:sup>
            <m:r>
              <w:rPr>
                <w:rFonts w:ascii="Cambria Math" w:eastAsia="Cambria Math" w:hAnsi="Cambria Math" w:cs="Cambria Math"/>
              </w:rPr>
              <m:t>d</m:t>
            </m:r>
          </m:sup>
        </m:sSup>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1-</m:t>
                </m:r>
                <m:sSup>
                  <m:sSupPr>
                    <m:ctrlPr>
                      <w:rPr>
                        <w:rFonts w:ascii="Cambria Math" w:eastAsia="Cambria Math" w:hAnsi="Cambria Math" w:cs="Cambria Math"/>
                        <w:i/>
                      </w:rPr>
                    </m:ctrlPr>
                  </m:sSupPr>
                  <m:e>
                    <m:r>
                      <w:rPr>
                        <w:rFonts w:ascii="Cambria Math" w:eastAsia="Cambria Math" w:hAnsi="Cambria Math" w:cs="Cambria Math"/>
                      </w:rPr>
                      <m:t>B</m:t>
                    </m:r>
                  </m:e>
                  <m:sup>
                    <m:r>
                      <w:rPr>
                        <w:rFonts w:ascii="Cambria Math" w:eastAsia="Cambria Math" w:hAnsi="Cambria Math" w:cs="Cambria Math"/>
                      </w:rPr>
                      <m:t>s</m:t>
                    </m:r>
                  </m:sup>
                </m:sSup>
              </m:e>
            </m:d>
          </m:e>
          <m:sup>
            <m:r>
              <w:rPr>
                <w:rFonts w:ascii="Cambria Math" w:eastAsia="Cambria Math" w:hAnsi="Cambria Math" w:cs="Cambria Math"/>
              </w:rPr>
              <m:t>D</m:t>
            </m:r>
          </m:sup>
        </m:sSup>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q</m:t>
            </m:r>
          </m:sub>
        </m:sSub>
        <m:d>
          <m:dPr>
            <m:ctrlPr>
              <w:rPr>
                <w:rFonts w:ascii="Cambria Math" w:eastAsia="Cambria Math" w:hAnsi="Cambria Math" w:cs="Cambria Math"/>
                <w:i/>
              </w:rPr>
            </m:ctrlPr>
          </m:dPr>
          <m:e>
            <m:r>
              <w:rPr>
                <w:rFonts w:ascii="Cambria Math" w:eastAsia="Cambria Math" w:hAnsi="Cambria Math" w:cs="Cambria Math"/>
              </w:rPr>
              <m:t>B</m:t>
            </m:r>
          </m:e>
        </m:d>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q</m:t>
            </m:r>
          </m:sub>
        </m:sSub>
        <m:d>
          <m:dPr>
            <m:ctrlPr>
              <w:rPr>
                <w:rFonts w:ascii="Cambria Math" w:eastAsia="Cambria Math" w:hAnsi="Cambria Math" w:cs="Cambria Math"/>
                <w:i/>
              </w:rPr>
            </m:ctrlPr>
          </m:dPr>
          <m:e>
            <m:sSup>
              <m:sSupPr>
                <m:ctrlPr>
                  <w:rPr>
                    <w:rFonts w:ascii="Cambria Math" w:eastAsia="Cambria Math" w:hAnsi="Cambria Math" w:cs="Cambria Math"/>
                    <w:i/>
                  </w:rPr>
                </m:ctrlPr>
              </m:sSupPr>
              <m:e>
                <m:r>
                  <w:rPr>
                    <w:rFonts w:ascii="Cambria Math" w:eastAsia="Cambria Math" w:hAnsi="Cambria Math" w:cs="Cambria Math"/>
                  </w:rPr>
                  <m:t>B</m:t>
                </m:r>
              </m:e>
              <m:sup>
                <m:r>
                  <w:rPr>
                    <w:rFonts w:ascii="Cambria Math" w:eastAsia="Cambria Math" w:hAnsi="Cambria Math" w:cs="Cambria Math"/>
                  </w:rPr>
                  <m:t>s</m:t>
                </m:r>
              </m:sup>
            </m:sSup>
          </m:e>
        </m:d>
        <m:sSub>
          <m:sSubPr>
            <m:ctrlPr>
              <w:rPr>
                <w:rFonts w:ascii="Cambria Math" w:eastAsia="Cambria Math" w:hAnsi="Cambria Math" w:cs="Cambria Math"/>
                <w:i/>
              </w:rPr>
            </m:ctrlPr>
          </m:sSubPr>
          <m:e>
            <m:r>
              <w:rPr>
                <w:rFonts w:ascii="Cambria Math" w:eastAsia="Cambria Math" w:hAnsi="Cambria Math" w:cs="Cambria Math"/>
              </w:rPr>
              <m:t>ε</m:t>
            </m:r>
          </m:e>
          <m:sub>
            <m:r>
              <w:rPr>
                <w:rFonts w:ascii="Cambria Math" w:eastAsia="Cambria Math" w:hAnsi="Cambria Math" w:cs="Cambria Math"/>
              </w:rPr>
              <m:t>t</m:t>
            </m:r>
          </m:sub>
        </m:sSub>
        <m:r>
          <w:rPr>
            <w:rFonts w:ascii="Cambria Math" w:eastAsia="Cambria Math" w:hAnsi="Cambria Math" w:cs="Cambria Math"/>
          </w:rPr>
          <m:t xml:space="preserve"> </m:t>
        </m:r>
      </m:oMath>
      <w:r>
        <w:rPr>
          <w:rFonts w:ascii="Noto Sans Symbols" w:eastAsia="Noto Sans Symbols" w:hAnsi="Noto Sans Symbols" w:cs="Noto Sans Symbols"/>
        </w:rPr>
        <w:tab/>
      </w:r>
      <w:r>
        <w:rPr>
          <w:rFonts w:ascii="Noto Sans Symbols" w:eastAsia="Noto Sans Symbols" w:hAnsi="Noto Sans Symbols" w:cs="Noto Sans Symbols"/>
          <w:bCs/>
        </w:rPr>
        <w:t>(</w:t>
      </w:r>
      <w:r w:rsidR="00672302">
        <w:rPr>
          <w:rFonts w:ascii="Noto Sans Symbols" w:eastAsia="Noto Sans Symbols" w:hAnsi="Noto Sans Symbols" w:cs="Noto Sans Symbols"/>
          <w:bCs/>
        </w:rPr>
        <w:t>3</w:t>
      </w:r>
      <w:r>
        <w:rPr>
          <w:rFonts w:ascii="Noto Sans Symbols" w:eastAsia="Noto Sans Symbols" w:hAnsi="Noto Sans Symbols" w:cs="Noto Sans Symbols"/>
          <w:bCs/>
        </w:rPr>
        <w:t>)</w:t>
      </w:r>
    </w:p>
    <w:p w14:paraId="43EC926B" w14:textId="77777777" w:rsidR="00EB2A17" w:rsidRDefault="00000000" w:rsidP="00EB2A17">
      <w:pPr>
        <w:tabs>
          <w:tab w:val="left" w:pos="288"/>
        </w:tabs>
        <w:spacing w:line="228" w:lineRule="auto"/>
        <w:jc w:val="both"/>
      </w:pPr>
      <w:r w:rsidRPr="003F567A">
        <w:t>Where</w:t>
      </w:r>
      <w:r>
        <w:t>:</w:t>
      </w:r>
    </w:p>
    <w:p w14:paraId="65B9EFDB" w14:textId="77777777" w:rsidR="00EB2A17" w:rsidRPr="002B34AC" w:rsidRDefault="00000000" w:rsidP="00EB2A17">
      <w:pPr>
        <w:tabs>
          <w:tab w:val="left" w:pos="288"/>
          <w:tab w:val="left" w:pos="851"/>
        </w:tabs>
        <w:spacing w:line="228" w:lineRule="auto"/>
        <w:jc w:val="both"/>
      </w:pPr>
      <m:oMath>
        <m:sSub>
          <m:sSubPr>
            <m:ctrlPr>
              <w:rPr>
                <w:rFonts w:ascii="Cambria Math" w:hAnsi="Cambria Math"/>
              </w:rPr>
            </m:ctrlPr>
          </m:sSubPr>
          <m:e>
            <m:r>
              <m:rPr>
                <m:sty m:val="p"/>
              </m:rPr>
              <w:rPr>
                <w:rFonts w:ascii="Cambria Math" w:hAnsi="Cambria Math"/>
              </w:rPr>
              <m:t>Φ</m:t>
            </m:r>
          </m:e>
          <m:sub>
            <m:r>
              <w:rPr>
                <w:rFonts w:ascii="Cambria Math" w:hAnsi="Cambria Math"/>
              </w:rPr>
              <m:t xml:space="preserve">p </m:t>
            </m:r>
          </m:sub>
        </m:sSub>
        <m:d>
          <m:dPr>
            <m:ctrlPr>
              <w:rPr>
                <w:rFonts w:ascii="Cambria Math" w:eastAsia="Cambria Math" w:hAnsi="Cambria Math" w:cs="Cambria Math"/>
                <w:i/>
              </w:rPr>
            </m:ctrlPr>
          </m:dPr>
          <m:e>
            <m:r>
              <w:rPr>
                <w:rFonts w:ascii="Cambria Math" w:eastAsia="Cambria Math" w:hAnsi="Cambria Math" w:cs="Cambria Math"/>
              </w:rPr>
              <m:t>B</m:t>
            </m:r>
          </m:e>
        </m:d>
      </m:oMath>
      <w:r>
        <w:tab/>
        <w:t xml:space="preserve">: </w:t>
      </w:r>
      <w:r w:rsidR="003F567A" w:rsidRPr="003F567A">
        <w:t>Non-seasonal autoregressive level</w:t>
      </w:r>
    </w:p>
    <w:p w14:paraId="29338E5C" w14:textId="77777777" w:rsidR="00EB2A17" w:rsidRPr="003E3B0E" w:rsidRDefault="00000000" w:rsidP="00EB2A17">
      <w:pPr>
        <w:tabs>
          <w:tab w:val="left" w:pos="288"/>
          <w:tab w:val="left" w:pos="851"/>
        </w:tabs>
        <w:spacing w:line="228" w:lineRule="auto"/>
        <w:jc w:val="both"/>
      </w:pPr>
      <m:oMath>
        <m:sSub>
          <m:sSubPr>
            <m:ctrlPr>
              <w:rPr>
                <w:rFonts w:ascii="Cambria Math" w:hAnsi="Cambria Math"/>
              </w:rPr>
            </m:ctrlPr>
          </m:sSubPr>
          <m:e>
            <m:r>
              <m:rPr>
                <m:sty m:val="p"/>
              </m:rPr>
              <w:rPr>
                <w:rFonts w:ascii="Cambria Math" w:hAnsi="Cambria Math"/>
              </w:rPr>
              <m:t>Φ</m:t>
            </m:r>
          </m:e>
          <m:sub>
            <m:r>
              <w:rPr>
                <w:rFonts w:ascii="Cambria Math" w:hAnsi="Cambria Math"/>
              </w:rPr>
              <m:t xml:space="preserve">p </m:t>
            </m:r>
          </m:sub>
        </m:sSub>
        <m:d>
          <m:dPr>
            <m:ctrlPr>
              <w:rPr>
                <w:rFonts w:ascii="Cambria Math" w:eastAsia="Cambria Math" w:hAnsi="Cambria Math" w:cs="Cambria Math"/>
                <w:i/>
              </w:rPr>
            </m:ctrlPr>
          </m:dPr>
          <m:e>
            <m:sSup>
              <m:sSupPr>
                <m:ctrlPr>
                  <w:rPr>
                    <w:rFonts w:ascii="Cambria Math" w:eastAsia="Cambria Math" w:hAnsi="Cambria Math" w:cs="Cambria Math"/>
                    <w:i/>
                  </w:rPr>
                </m:ctrlPr>
              </m:sSupPr>
              <m:e>
                <m:r>
                  <w:rPr>
                    <w:rFonts w:ascii="Cambria Math" w:eastAsia="Cambria Math" w:hAnsi="Cambria Math" w:cs="Cambria Math"/>
                  </w:rPr>
                  <m:t>B</m:t>
                </m:r>
              </m:e>
              <m:sup>
                <m:r>
                  <w:rPr>
                    <w:rFonts w:ascii="Cambria Math" w:eastAsia="Cambria Math" w:hAnsi="Cambria Math" w:cs="Cambria Math"/>
                  </w:rPr>
                  <m:t>s</m:t>
                </m:r>
              </m:sup>
            </m:sSup>
          </m:e>
        </m:d>
      </m:oMath>
      <w:r>
        <w:rPr>
          <w:iCs/>
        </w:rPr>
        <w:tab/>
        <w:t xml:space="preserve">: </w:t>
      </w:r>
      <w:r w:rsidR="003F567A" w:rsidRPr="003F567A">
        <w:t>Seasonal autoregressive rate</w:t>
      </w:r>
    </w:p>
    <w:p w14:paraId="39E9252E" w14:textId="77777777" w:rsidR="00EB2A17" w:rsidRPr="002B34AC" w:rsidRDefault="00000000" w:rsidP="00EB2A17">
      <w:pPr>
        <w:tabs>
          <w:tab w:val="left" w:pos="288"/>
          <w:tab w:val="left" w:pos="851"/>
        </w:tabs>
        <w:spacing w:line="228" w:lineRule="auto"/>
        <w:jc w:val="both"/>
        <w:rPr>
          <w:i/>
          <w:iCs/>
        </w:rPr>
      </w:pPr>
      <m:oMath>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1-B</m:t>
                </m:r>
              </m:e>
            </m:d>
          </m:e>
          <m:sup>
            <m:r>
              <w:rPr>
                <w:rFonts w:ascii="Cambria Math" w:eastAsia="Cambria Math" w:hAnsi="Cambria Math" w:cs="Cambria Math"/>
              </w:rPr>
              <m:t>d</m:t>
            </m:r>
          </m:sup>
        </m:sSup>
      </m:oMath>
      <w:r>
        <w:tab/>
        <w:t xml:space="preserve">: </w:t>
      </w:r>
      <w:r w:rsidR="003F567A" w:rsidRPr="003F567A">
        <w:t>Non-seasonal differencing level</w:t>
      </w:r>
      <w:r w:rsidRPr="002B34AC">
        <w:rPr>
          <w:i/>
          <w:iCs/>
        </w:rPr>
        <w:tab/>
      </w:r>
    </w:p>
    <w:p w14:paraId="404433AC" w14:textId="77777777" w:rsidR="00EB2A17" w:rsidRPr="003E3B0E" w:rsidRDefault="00000000" w:rsidP="00EB2A17">
      <w:pPr>
        <w:tabs>
          <w:tab w:val="left" w:pos="288"/>
          <w:tab w:val="left" w:pos="851"/>
        </w:tabs>
        <w:spacing w:line="228" w:lineRule="auto"/>
        <w:ind w:left="288" w:hanging="288"/>
        <w:jc w:val="both"/>
      </w:pPr>
      <m:oMath>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1-</m:t>
                </m:r>
                <m:sSup>
                  <m:sSupPr>
                    <m:ctrlPr>
                      <w:rPr>
                        <w:rFonts w:ascii="Cambria Math" w:eastAsia="Cambria Math" w:hAnsi="Cambria Math" w:cs="Cambria Math"/>
                        <w:i/>
                      </w:rPr>
                    </m:ctrlPr>
                  </m:sSupPr>
                  <m:e>
                    <m:r>
                      <w:rPr>
                        <w:rFonts w:ascii="Cambria Math" w:eastAsia="Cambria Math" w:hAnsi="Cambria Math" w:cs="Cambria Math"/>
                      </w:rPr>
                      <m:t>B</m:t>
                    </m:r>
                  </m:e>
                  <m:sup>
                    <m:r>
                      <w:rPr>
                        <w:rFonts w:ascii="Cambria Math" w:eastAsia="Cambria Math" w:hAnsi="Cambria Math" w:cs="Cambria Math"/>
                      </w:rPr>
                      <m:t>s</m:t>
                    </m:r>
                  </m:sup>
                </m:sSup>
              </m:e>
            </m:d>
          </m:e>
          <m:sup>
            <m:r>
              <w:rPr>
                <w:rFonts w:ascii="Cambria Math" w:eastAsia="Cambria Math" w:hAnsi="Cambria Math" w:cs="Cambria Math"/>
              </w:rPr>
              <m:t>D</m:t>
            </m:r>
          </m:sup>
        </m:sSup>
      </m:oMath>
      <w:r>
        <w:tab/>
        <w:t xml:space="preserve">: </w:t>
      </w:r>
      <w:r w:rsidR="003F567A" w:rsidRPr="003F567A">
        <w:t>Seasonal differencing level</w:t>
      </w:r>
    </w:p>
    <w:p w14:paraId="137F1EC9" w14:textId="77777777" w:rsidR="00EB2A17" w:rsidRDefault="00000000" w:rsidP="00EB2A17">
      <w:pPr>
        <w:tabs>
          <w:tab w:val="left" w:pos="288"/>
          <w:tab w:val="left" w:pos="851"/>
        </w:tabs>
        <w:spacing w:line="228" w:lineRule="auto"/>
        <w:jc w:val="both"/>
      </w:pPr>
      <m:oMath>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q</m:t>
            </m:r>
          </m:sub>
        </m:sSub>
        <m:d>
          <m:dPr>
            <m:ctrlPr>
              <w:rPr>
                <w:rFonts w:ascii="Cambria Math" w:eastAsia="Cambria Math" w:hAnsi="Cambria Math" w:cs="Cambria Math"/>
                <w:i/>
              </w:rPr>
            </m:ctrlPr>
          </m:dPr>
          <m:e>
            <m:r>
              <w:rPr>
                <w:rFonts w:ascii="Cambria Math" w:eastAsia="Cambria Math" w:hAnsi="Cambria Math" w:cs="Cambria Math"/>
              </w:rPr>
              <m:t>B</m:t>
            </m:r>
          </m:e>
        </m:d>
      </m:oMath>
      <w:r>
        <w:tab/>
        <w:t xml:space="preserve">: </w:t>
      </w:r>
      <w:r w:rsidR="003F567A" w:rsidRPr="003F567A">
        <w:rPr>
          <w:i/>
          <w:iCs/>
        </w:rPr>
        <w:t>Non-seasonal moving average</w:t>
      </w:r>
    </w:p>
    <w:p w14:paraId="0ECCBB92" w14:textId="77777777" w:rsidR="00EB2A17" w:rsidRPr="00734C82" w:rsidRDefault="00000000" w:rsidP="00EB2A17">
      <w:pPr>
        <w:tabs>
          <w:tab w:val="left" w:pos="288"/>
          <w:tab w:val="left" w:pos="851"/>
        </w:tabs>
        <w:spacing w:line="228" w:lineRule="auto"/>
        <w:jc w:val="both"/>
      </w:pPr>
      <m:oMath>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q</m:t>
            </m:r>
          </m:sub>
        </m:sSub>
        <m:d>
          <m:dPr>
            <m:ctrlPr>
              <w:rPr>
                <w:rFonts w:ascii="Cambria Math" w:eastAsia="Cambria Math" w:hAnsi="Cambria Math" w:cs="Cambria Math"/>
                <w:i/>
              </w:rPr>
            </m:ctrlPr>
          </m:dPr>
          <m:e>
            <m:sSup>
              <m:sSupPr>
                <m:ctrlPr>
                  <w:rPr>
                    <w:rFonts w:ascii="Cambria Math" w:eastAsia="Cambria Math" w:hAnsi="Cambria Math" w:cs="Cambria Math"/>
                    <w:i/>
                  </w:rPr>
                </m:ctrlPr>
              </m:sSupPr>
              <m:e>
                <m:r>
                  <w:rPr>
                    <w:rFonts w:ascii="Cambria Math" w:eastAsia="Cambria Math" w:hAnsi="Cambria Math" w:cs="Cambria Math"/>
                  </w:rPr>
                  <m:t>B</m:t>
                </m:r>
              </m:e>
              <m:sup>
                <m:r>
                  <w:rPr>
                    <w:rFonts w:ascii="Cambria Math" w:eastAsia="Cambria Math" w:hAnsi="Cambria Math" w:cs="Cambria Math"/>
                  </w:rPr>
                  <m:t>s</m:t>
                </m:r>
              </m:sup>
            </m:sSup>
          </m:e>
        </m:d>
      </m:oMath>
      <w:r>
        <w:tab/>
        <w:t xml:space="preserve">: </w:t>
      </w:r>
      <w:r w:rsidR="003F567A" w:rsidRPr="003F567A">
        <w:rPr>
          <w:i/>
          <w:iCs/>
        </w:rPr>
        <w:t>Seasonal moving average</w:t>
      </w:r>
    </w:p>
    <w:p w14:paraId="5F448C81" w14:textId="77777777" w:rsidR="00EB2A17" w:rsidRDefault="00000000" w:rsidP="00EB2A17">
      <w:pPr>
        <w:tabs>
          <w:tab w:val="left" w:pos="288"/>
          <w:tab w:val="left" w:pos="851"/>
        </w:tabs>
        <w:spacing w:line="228" w:lineRule="auto"/>
        <w:jc w:val="both"/>
      </w:pPr>
      <m:oMath>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t</m:t>
            </m:r>
          </m:sub>
        </m:sSub>
      </m:oMath>
      <w:r>
        <w:tab/>
      </w:r>
      <w:r>
        <w:tab/>
        <w:t xml:space="preserve">: </w:t>
      </w:r>
      <w:r w:rsidR="003F567A" w:rsidRPr="003F567A">
        <w:t>Actual data t-th</w:t>
      </w:r>
    </w:p>
    <w:p w14:paraId="63CF211B" w14:textId="77777777" w:rsidR="00EB2A17" w:rsidRPr="00EE5680" w:rsidRDefault="00000000" w:rsidP="00EB2A17">
      <w:pPr>
        <w:tabs>
          <w:tab w:val="left" w:pos="851"/>
        </w:tabs>
        <w:jc w:val="both"/>
      </w:pPr>
      <m:oMath>
        <m:sSub>
          <m:sSubPr>
            <m:ctrlPr>
              <w:rPr>
                <w:rFonts w:ascii="Cambria Math" w:eastAsia="Cambria Math" w:hAnsi="Cambria Math" w:cs="Cambria Math"/>
                <w:i/>
              </w:rPr>
            </m:ctrlPr>
          </m:sSubPr>
          <m:e>
            <m:r>
              <w:rPr>
                <w:rFonts w:ascii="Cambria Math" w:eastAsia="Cambria Math" w:hAnsi="Cambria Math" w:cs="Cambria Math"/>
              </w:rPr>
              <m:t>ε</m:t>
            </m:r>
          </m:e>
          <m:sub>
            <m:r>
              <w:rPr>
                <w:rFonts w:ascii="Cambria Math" w:eastAsia="Cambria Math" w:hAnsi="Cambria Math" w:cs="Cambria Math"/>
              </w:rPr>
              <m:t>t</m:t>
            </m:r>
          </m:sub>
        </m:sSub>
      </m:oMath>
      <w:r>
        <w:tab/>
        <w:t xml:space="preserve">: </w:t>
      </w:r>
      <w:r w:rsidR="003F567A" w:rsidRPr="003F567A">
        <w:t>t-period error</w:t>
      </w:r>
    </w:p>
    <w:p w14:paraId="1C35E666" w14:textId="77777777" w:rsidR="00CA4403" w:rsidRPr="00CA4403" w:rsidRDefault="00000000" w:rsidP="00CA4403">
      <w:pPr>
        <w:pStyle w:val="Heading2"/>
        <w:numPr>
          <w:ilvl w:val="1"/>
          <w:numId w:val="10"/>
        </w:numPr>
        <w:rPr>
          <w:iCs/>
        </w:rPr>
      </w:pPr>
      <w:r w:rsidRPr="003F567A">
        <w:rPr>
          <w:iCs/>
        </w:rPr>
        <w:t>Evaluation of Results</w:t>
      </w:r>
    </w:p>
    <w:p w14:paraId="5AD48582" w14:textId="77777777" w:rsidR="00CA4403" w:rsidRDefault="00000000" w:rsidP="00CA4403">
      <w:pPr>
        <w:spacing w:after="240"/>
        <w:ind w:firstLine="288"/>
        <w:jc w:val="both"/>
      </w:pPr>
      <w:r w:rsidRPr="003F567A">
        <w:t>Evaluate the results of forecasting that has been done. The forecasting results will be a graph predicting the number of future hotspot occurrences in the West Kalimantan region. Use Mean Squared Error (MSE) and Root Mean Squared Error (RMSE) for system testing. This test is carried out to analyse whether the system is running well or still needs updating so that the system can be by the needs. As for MSE can be calculated by equation (4).</w:t>
      </w:r>
    </w:p>
    <w:p w14:paraId="2612BDBF" w14:textId="77777777" w:rsidR="00CA4403" w:rsidRPr="001C1111" w:rsidRDefault="00000000" w:rsidP="00672302">
      <w:pPr>
        <w:tabs>
          <w:tab w:val="left" w:pos="4678"/>
        </w:tabs>
        <w:spacing w:after="120" w:line="228" w:lineRule="auto"/>
        <w:ind w:left="1134" w:firstLine="288"/>
      </w:pPr>
      <m:oMath>
        <m:r>
          <w:rPr>
            <w:rFonts w:ascii="Cambria Math" w:hAnsi="Cambria Math"/>
          </w:rPr>
          <m:t>MSE</m:t>
        </m:r>
        <m:r>
          <w:rPr>
            <w:rFonts w:ascii="Cambria Math" w:eastAsia="Cambria Math" w:hAnsi="Cambria Math" w:cs="Cambria Math"/>
          </w:rPr>
          <m:t xml:space="preserve">= </m:t>
        </m:r>
        <m:nary>
          <m:naryPr>
            <m:chr m:val="∑"/>
            <m:limLoc m:val="undOvr"/>
            <m:ctrlPr>
              <w:rPr>
                <w:rFonts w:ascii="Cambria Math" w:eastAsia="Cambria Math" w:hAnsi="Cambria Math" w:cs="Cambria Math"/>
                <w:i/>
              </w:rPr>
            </m:ctrlPr>
          </m:naryPr>
          <m:sub>
            <m:r>
              <w:rPr>
                <w:rFonts w:ascii="Cambria Math" w:eastAsia="Cambria Math" w:hAnsi="Cambria Math" w:cs="Cambria Math"/>
              </w:rPr>
              <m:t>t=1</m:t>
            </m:r>
          </m:sub>
          <m:sup>
            <m:r>
              <w:rPr>
                <w:rFonts w:ascii="Cambria Math" w:eastAsia="Cambria Math" w:hAnsi="Cambria Math" w:cs="Cambria Math"/>
              </w:rPr>
              <m:t>n</m:t>
            </m:r>
          </m:sup>
          <m:e>
            <m:f>
              <m:fPr>
                <m:ctrlPr>
                  <w:rPr>
                    <w:rFonts w:ascii="Cambria Math" w:eastAsia="Cambria Math" w:hAnsi="Cambria Math" w:cs="Cambria Math"/>
                    <w:i/>
                  </w:rPr>
                </m:ctrlPr>
              </m:fPr>
              <m:num>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t-</m:t>
                        </m:r>
                      </m:sub>
                    </m:sSub>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t</m:t>
                        </m:r>
                      </m:sub>
                    </m:sSub>
                  </m:e>
                </m:d>
              </m:num>
              <m:den>
                <m:r>
                  <w:rPr>
                    <w:rFonts w:ascii="Cambria Math" w:eastAsia="Cambria Math" w:hAnsi="Cambria Math" w:cs="Cambria Math"/>
                  </w:rPr>
                  <m:t>n</m:t>
                </m:r>
              </m:den>
            </m:f>
          </m:e>
        </m:nary>
      </m:oMath>
      <w:r>
        <w:rPr>
          <w:rFonts w:ascii="Noto Sans Symbols" w:eastAsia="Noto Sans Symbols" w:hAnsi="Noto Sans Symbols" w:cs="Noto Sans Symbols"/>
        </w:rPr>
        <w:t xml:space="preserve"> </w:t>
      </w:r>
      <w:r>
        <w:rPr>
          <w:rFonts w:ascii="Noto Sans Symbols" w:eastAsia="Noto Sans Symbols" w:hAnsi="Noto Sans Symbols" w:cs="Noto Sans Symbols"/>
        </w:rPr>
        <w:tab/>
      </w:r>
      <w:r>
        <w:rPr>
          <w:rFonts w:ascii="Noto Sans Symbols" w:eastAsia="Noto Sans Symbols" w:hAnsi="Noto Sans Symbols" w:cs="Noto Sans Symbols"/>
          <w:bCs/>
        </w:rPr>
        <w:t>(</w:t>
      </w:r>
      <w:r w:rsidR="00672302">
        <w:rPr>
          <w:rFonts w:ascii="Noto Sans Symbols" w:eastAsia="Noto Sans Symbols" w:hAnsi="Noto Sans Symbols" w:cs="Noto Sans Symbols"/>
          <w:bCs/>
        </w:rPr>
        <w:t>4</w:t>
      </w:r>
      <w:r>
        <w:rPr>
          <w:rFonts w:ascii="Noto Sans Symbols" w:eastAsia="Noto Sans Symbols" w:hAnsi="Noto Sans Symbols" w:cs="Noto Sans Symbols"/>
          <w:bCs/>
        </w:rPr>
        <w:t>)</w:t>
      </w:r>
    </w:p>
    <w:p w14:paraId="380602FB" w14:textId="77777777" w:rsidR="00CA4403" w:rsidRDefault="00000000" w:rsidP="00CA4403">
      <w:pPr>
        <w:tabs>
          <w:tab w:val="left" w:pos="288"/>
        </w:tabs>
        <w:spacing w:line="228" w:lineRule="auto"/>
        <w:jc w:val="both"/>
      </w:pPr>
      <w:r w:rsidRPr="003F567A">
        <w:t>Where</w:t>
      </w:r>
      <w:r>
        <w:t>:</w:t>
      </w:r>
    </w:p>
    <w:p w14:paraId="59AD32AB" w14:textId="77777777" w:rsidR="00CA4403" w:rsidRPr="002B34AC" w:rsidRDefault="00000000" w:rsidP="00CA4403">
      <w:pPr>
        <w:tabs>
          <w:tab w:val="left" w:pos="288"/>
        </w:tabs>
        <w:spacing w:line="228" w:lineRule="auto"/>
        <w:jc w:val="both"/>
      </w:pPr>
      <m:oMath>
        <m:sSub>
          <m:sSubPr>
            <m:ctrlPr>
              <w:rPr>
                <w:rFonts w:ascii="Cambria Math" w:hAnsi="Cambria Math"/>
              </w:rPr>
            </m:ctrlPr>
          </m:sSubPr>
          <m:e>
            <m:r>
              <m:rPr>
                <m:sty m:val="p"/>
              </m:rPr>
              <w:rPr>
                <w:rFonts w:ascii="Cambria Math" w:hAnsi="Cambria Math"/>
              </w:rPr>
              <m:t>A</m:t>
            </m:r>
          </m:e>
          <m:sub>
            <m:r>
              <w:rPr>
                <w:rFonts w:ascii="Cambria Math" w:hAnsi="Cambria Math"/>
              </w:rPr>
              <m:t xml:space="preserve">t </m:t>
            </m:r>
          </m:sub>
        </m:sSub>
      </m:oMath>
      <w:r>
        <w:tab/>
        <w:t xml:space="preserve">: </w:t>
      </w:r>
      <w:r w:rsidR="006C7A76" w:rsidRPr="006C7A76">
        <w:t>Original data value</w:t>
      </w:r>
    </w:p>
    <w:p w14:paraId="647DC201" w14:textId="77777777" w:rsidR="00CA4403" w:rsidRDefault="00000000" w:rsidP="00CA4403">
      <w:pPr>
        <w:tabs>
          <w:tab w:val="left" w:pos="288"/>
        </w:tabs>
        <w:spacing w:line="228" w:lineRule="auto"/>
        <w:jc w:val="both"/>
      </w:pPr>
      <m:oMath>
        <m:sSub>
          <m:sSubPr>
            <m:ctrlPr>
              <w:rPr>
                <w:rFonts w:ascii="Cambria Math" w:hAnsi="Cambria Math"/>
                <w:i/>
              </w:rPr>
            </m:ctrlPr>
          </m:sSubPr>
          <m:e>
            <m:r>
              <w:rPr>
                <w:rFonts w:ascii="Cambria Math" w:hAnsi="Cambria Math"/>
              </w:rPr>
              <m:t>F</m:t>
            </m:r>
          </m:e>
          <m:sub>
            <m:r>
              <w:rPr>
                <w:rFonts w:ascii="Cambria Math" w:hAnsi="Cambria Math"/>
              </w:rPr>
              <m:t>t</m:t>
            </m:r>
          </m:sub>
        </m:sSub>
      </m:oMath>
      <w:r>
        <w:rPr>
          <w:i/>
        </w:rPr>
        <w:tab/>
      </w:r>
      <w:r w:rsidRPr="002B34AC">
        <w:rPr>
          <w:iCs/>
        </w:rPr>
        <w:t>:</w:t>
      </w:r>
      <w:r>
        <w:rPr>
          <w:iCs/>
        </w:rPr>
        <w:t xml:space="preserve"> </w:t>
      </w:r>
      <w:r w:rsidR="006C7A76" w:rsidRPr="006C7A76">
        <w:t>Forecasting data value</w:t>
      </w:r>
    </w:p>
    <w:p w14:paraId="4788922E" w14:textId="77777777" w:rsidR="00DF7AC9" w:rsidRDefault="00000000" w:rsidP="00CA4403">
      <w:pPr>
        <w:tabs>
          <w:tab w:val="left" w:pos="284"/>
        </w:tabs>
        <w:jc w:val="both"/>
      </w:pPr>
      <w:r>
        <w:rPr>
          <w:i/>
          <w:iCs/>
        </w:rPr>
        <w:t>n</w:t>
      </w:r>
      <w:r w:rsidR="00CA4403">
        <w:rPr>
          <w:i/>
          <w:iCs/>
        </w:rPr>
        <w:tab/>
      </w:r>
      <w:r w:rsidR="00CA4403">
        <w:t xml:space="preserve">: </w:t>
      </w:r>
      <w:r w:rsidR="006C7A76" w:rsidRPr="006C7A76">
        <w:t>Amount of data</w:t>
      </w:r>
    </w:p>
    <w:p w14:paraId="5D5CC52D" w14:textId="77777777" w:rsidR="00832D9C" w:rsidRDefault="00832D9C" w:rsidP="000645C7">
      <w:pPr>
        <w:jc w:val="both"/>
      </w:pPr>
    </w:p>
    <w:p w14:paraId="4B0540B7" w14:textId="77777777" w:rsidR="000645C7" w:rsidRDefault="00000000" w:rsidP="00BA100D">
      <w:pPr>
        <w:spacing w:after="240"/>
        <w:jc w:val="both"/>
      </w:pPr>
      <w:r w:rsidRPr="006C7A76">
        <w:t>Meanwhile, the RMSE can be calculated with equation (5).</w:t>
      </w:r>
    </w:p>
    <w:p w14:paraId="23907F81" w14:textId="77777777" w:rsidR="00BA100D" w:rsidRPr="001C1111" w:rsidRDefault="00000000" w:rsidP="00672302">
      <w:pPr>
        <w:tabs>
          <w:tab w:val="left" w:pos="4678"/>
        </w:tabs>
        <w:spacing w:after="120" w:line="228" w:lineRule="auto"/>
        <w:ind w:left="1134" w:firstLine="288"/>
      </w:pPr>
      <w:r w:rsidRPr="00BA100D">
        <w:rPr>
          <w:i/>
          <w:iCs/>
        </w:rPr>
        <w:t>R</w:t>
      </w:r>
      <m:oMath>
        <m:r>
          <w:rPr>
            <w:rFonts w:ascii="Cambria Math" w:hAnsi="Cambria Math"/>
          </w:rPr>
          <m:t>MSE</m:t>
        </m:r>
        <m:r>
          <w:rPr>
            <w:rFonts w:ascii="Cambria Math" w:eastAsia="Cambria Math" w:hAnsi="Cambria Math" w:cs="Cambria Math"/>
          </w:rPr>
          <m:t xml:space="preserve">= </m:t>
        </m:r>
        <m:rad>
          <m:radPr>
            <m:degHide m:val="1"/>
            <m:ctrlPr>
              <w:rPr>
                <w:rFonts w:ascii="Cambria Math" w:eastAsia="Cambria Math" w:hAnsi="Cambria Math" w:cs="Cambria Math"/>
                <w:i/>
              </w:rPr>
            </m:ctrlPr>
          </m:radPr>
          <m:deg/>
          <m:e>
            <m:nary>
              <m:naryPr>
                <m:chr m:val="∑"/>
                <m:limLoc m:val="undOvr"/>
                <m:ctrlPr>
                  <w:rPr>
                    <w:rFonts w:ascii="Cambria Math" w:eastAsia="Cambria Math" w:hAnsi="Cambria Math" w:cs="Cambria Math"/>
                    <w:i/>
                  </w:rPr>
                </m:ctrlPr>
              </m:naryPr>
              <m:sub>
                <m:r>
                  <w:rPr>
                    <w:rFonts w:ascii="Cambria Math" w:eastAsia="Cambria Math" w:hAnsi="Cambria Math" w:cs="Cambria Math"/>
                  </w:rPr>
                  <m:t>t=1</m:t>
                </m:r>
              </m:sub>
              <m:sup>
                <m:r>
                  <w:rPr>
                    <w:rFonts w:ascii="Cambria Math" w:eastAsia="Cambria Math" w:hAnsi="Cambria Math" w:cs="Cambria Math"/>
                  </w:rPr>
                  <m:t>n</m:t>
                </m:r>
              </m:sup>
              <m:e>
                <m:f>
                  <m:fPr>
                    <m:ctrlPr>
                      <w:rPr>
                        <w:rFonts w:ascii="Cambria Math" w:eastAsia="Cambria Math" w:hAnsi="Cambria Math" w:cs="Cambria Math"/>
                        <w:i/>
                      </w:rPr>
                    </m:ctrlPr>
                  </m:fPr>
                  <m:num>
                    <m:sSup>
                      <m:sSupPr>
                        <m:ctrlPr>
                          <w:rPr>
                            <w:rFonts w:ascii="Cambria Math" w:eastAsia="Cambria Math" w:hAnsi="Cambria Math" w:cs="Cambria Math"/>
                            <w:i/>
                          </w:rPr>
                        </m:ctrlPr>
                      </m:sSupPr>
                      <m:e>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t-</m:t>
                                </m:r>
                              </m:sub>
                            </m:sSub>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t</m:t>
                                </m:r>
                              </m:sub>
                            </m:sSub>
                          </m:e>
                        </m:d>
                      </m:e>
                      <m:sup>
                        <m:r>
                          <w:rPr>
                            <w:rFonts w:ascii="Cambria Math" w:eastAsia="Cambria Math" w:hAnsi="Cambria Math" w:cs="Cambria Math"/>
                          </w:rPr>
                          <m:t>2</m:t>
                        </m:r>
                      </m:sup>
                    </m:sSup>
                  </m:num>
                  <m:den>
                    <m:r>
                      <w:rPr>
                        <w:rFonts w:ascii="Cambria Math" w:eastAsia="Cambria Math" w:hAnsi="Cambria Math" w:cs="Cambria Math"/>
                      </w:rPr>
                      <m:t>n</m:t>
                    </m:r>
                  </m:den>
                </m:f>
              </m:e>
            </m:nary>
          </m:e>
        </m:rad>
      </m:oMath>
      <w:r>
        <w:rPr>
          <w:rFonts w:ascii="Noto Sans Symbols" w:eastAsia="Noto Sans Symbols" w:hAnsi="Noto Sans Symbols" w:cs="Noto Sans Symbols"/>
        </w:rPr>
        <w:t xml:space="preserve"> </w:t>
      </w:r>
      <w:r>
        <w:rPr>
          <w:rFonts w:ascii="Noto Sans Symbols" w:eastAsia="Noto Sans Symbols" w:hAnsi="Noto Sans Symbols" w:cs="Noto Sans Symbols"/>
        </w:rPr>
        <w:tab/>
      </w:r>
      <w:r>
        <w:rPr>
          <w:rFonts w:ascii="Noto Sans Symbols" w:eastAsia="Noto Sans Symbols" w:hAnsi="Noto Sans Symbols" w:cs="Noto Sans Symbols"/>
          <w:bCs/>
        </w:rPr>
        <w:t>(</w:t>
      </w:r>
      <w:r w:rsidR="00672302">
        <w:rPr>
          <w:rFonts w:ascii="Noto Sans Symbols" w:eastAsia="Noto Sans Symbols" w:hAnsi="Noto Sans Symbols" w:cs="Noto Sans Symbols"/>
          <w:bCs/>
        </w:rPr>
        <w:t>5</w:t>
      </w:r>
      <w:r>
        <w:rPr>
          <w:rFonts w:ascii="Noto Sans Symbols" w:eastAsia="Noto Sans Symbols" w:hAnsi="Noto Sans Symbols" w:cs="Noto Sans Symbols"/>
          <w:bCs/>
        </w:rPr>
        <w:t>)</w:t>
      </w:r>
    </w:p>
    <w:p w14:paraId="7978353A" w14:textId="77777777" w:rsidR="00BA100D" w:rsidRDefault="00000000" w:rsidP="00BA100D">
      <w:pPr>
        <w:tabs>
          <w:tab w:val="left" w:pos="288"/>
        </w:tabs>
        <w:spacing w:line="228" w:lineRule="auto"/>
        <w:jc w:val="both"/>
      </w:pPr>
      <w:r w:rsidRPr="006C7A76">
        <w:t>Where</w:t>
      </w:r>
      <w:r>
        <w:t>:</w:t>
      </w:r>
    </w:p>
    <w:p w14:paraId="139EE936" w14:textId="77777777" w:rsidR="00BA100D" w:rsidRPr="002B34AC" w:rsidRDefault="00000000" w:rsidP="00BA100D">
      <w:pPr>
        <w:tabs>
          <w:tab w:val="left" w:pos="288"/>
        </w:tabs>
        <w:spacing w:line="228" w:lineRule="auto"/>
        <w:jc w:val="both"/>
      </w:pPr>
      <m:oMath>
        <m:sSub>
          <m:sSubPr>
            <m:ctrlPr>
              <w:rPr>
                <w:rFonts w:ascii="Cambria Math" w:hAnsi="Cambria Math"/>
              </w:rPr>
            </m:ctrlPr>
          </m:sSubPr>
          <m:e>
            <m:r>
              <m:rPr>
                <m:sty m:val="p"/>
              </m:rPr>
              <w:rPr>
                <w:rFonts w:ascii="Cambria Math" w:hAnsi="Cambria Math"/>
              </w:rPr>
              <m:t>A</m:t>
            </m:r>
          </m:e>
          <m:sub>
            <m:r>
              <w:rPr>
                <w:rFonts w:ascii="Cambria Math" w:hAnsi="Cambria Math"/>
              </w:rPr>
              <m:t xml:space="preserve">t </m:t>
            </m:r>
          </m:sub>
        </m:sSub>
      </m:oMath>
      <w:r>
        <w:tab/>
        <w:t xml:space="preserve">: </w:t>
      </w:r>
      <w:r w:rsidR="006C7A76">
        <w:t>Nilai data asli</w:t>
      </w:r>
    </w:p>
    <w:p w14:paraId="526568E6" w14:textId="77777777" w:rsidR="00BA100D" w:rsidRDefault="00000000" w:rsidP="00BA100D">
      <w:pPr>
        <w:tabs>
          <w:tab w:val="left" w:pos="288"/>
        </w:tabs>
        <w:spacing w:line="228" w:lineRule="auto"/>
        <w:jc w:val="both"/>
      </w:pPr>
      <m:oMath>
        <m:sSub>
          <m:sSubPr>
            <m:ctrlPr>
              <w:rPr>
                <w:rFonts w:ascii="Cambria Math" w:hAnsi="Cambria Math"/>
                <w:i/>
              </w:rPr>
            </m:ctrlPr>
          </m:sSubPr>
          <m:e>
            <m:r>
              <w:rPr>
                <w:rFonts w:ascii="Cambria Math" w:hAnsi="Cambria Math"/>
              </w:rPr>
              <m:t>F</m:t>
            </m:r>
          </m:e>
          <m:sub>
            <m:r>
              <w:rPr>
                <w:rFonts w:ascii="Cambria Math" w:hAnsi="Cambria Math"/>
              </w:rPr>
              <m:t>t</m:t>
            </m:r>
          </m:sub>
        </m:sSub>
      </m:oMath>
      <w:r>
        <w:rPr>
          <w:i/>
        </w:rPr>
        <w:tab/>
      </w:r>
      <w:r w:rsidRPr="002B34AC">
        <w:rPr>
          <w:iCs/>
        </w:rPr>
        <w:t>:</w:t>
      </w:r>
      <w:r>
        <w:rPr>
          <w:iCs/>
        </w:rPr>
        <w:t xml:space="preserve"> </w:t>
      </w:r>
      <w:r w:rsidR="006C7A76" w:rsidRPr="006C7A76">
        <w:t>Forecasting data value</w:t>
      </w:r>
    </w:p>
    <w:p w14:paraId="177626CF" w14:textId="77777777" w:rsidR="00BA100D" w:rsidRDefault="00000000" w:rsidP="00BC2DFD">
      <w:pPr>
        <w:tabs>
          <w:tab w:val="left" w:pos="284"/>
        </w:tabs>
        <w:spacing w:after="240"/>
        <w:jc w:val="both"/>
      </w:pPr>
      <w:r>
        <w:rPr>
          <w:i/>
          <w:iCs/>
        </w:rPr>
        <w:t>n</w:t>
      </w:r>
      <w:r>
        <w:rPr>
          <w:i/>
          <w:iCs/>
        </w:rPr>
        <w:tab/>
      </w:r>
      <w:r>
        <w:t xml:space="preserve">: </w:t>
      </w:r>
      <w:r w:rsidR="006C7A76" w:rsidRPr="006C7A76">
        <w:t>Amount of data</w:t>
      </w:r>
    </w:p>
    <w:p w14:paraId="2ABB9237" w14:textId="77777777" w:rsidR="00BA100D" w:rsidRPr="006C7A76" w:rsidRDefault="00000000" w:rsidP="00BC2DFD">
      <w:pPr>
        <w:ind w:firstLine="288"/>
        <w:jc w:val="both"/>
        <w:rPr>
          <w:iCs/>
        </w:rPr>
      </w:pPr>
      <w:r w:rsidRPr="006C7A76">
        <w:rPr>
          <w:iCs/>
        </w:rPr>
        <w:t>Mean Squared Error (MSE) is the average squared error between actual and forecasting values. The Mean Squared Error method is generally used to check the estimation of how much the error value is in forecasting. Meanwhile, the Root Mean Squared Error (RMSE) obtains the error rate of the forecasting results. MSE or RMSE, if the results obtained are smaller or closer to zero, the prediction results will be more accurate. If the results obtained are equal to zero, then the prediction results are perfect.</w:t>
      </w:r>
    </w:p>
    <w:p w14:paraId="78E5189A" w14:textId="77777777" w:rsidR="00914DE2" w:rsidRDefault="00000000">
      <w:pPr>
        <w:pStyle w:val="Heading1"/>
        <w:numPr>
          <w:ilvl w:val="0"/>
          <w:numId w:val="1"/>
        </w:numPr>
      </w:pPr>
      <w:r>
        <w:t>Results and Discussion</w:t>
      </w:r>
    </w:p>
    <w:p w14:paraId="07EDB6DF" w14:textId="77777777" w:rsidR="007B0158" w:rsidRDefault="00000000" w:rsidP="006C7A76">
      <w:pPr>
        <w:tabs>
          <w:tab w:val="left" w:pos="288"/>
        </w:tabs>
        <w:spacing w:after="120" w:line="228" w:lineRule="auto"/>
        <w:ind w:firstLine="288"/>
        <w:jc w:val="both"/>
      </w:pPr>
      <w:r w:rsidRPr="006C7A76">
        <w:t>This section discusses the results of each stage described in the previous section, starting from the data collection stage, preprocessing, transformation (differencing), model identification, model parameter estimation, diagnostic checking, and prediction and evaluation of results.</w:t>
      </w:r>
    </w:p>
    <w:p w14:paraId="458D4448" w14:textId="77777777" w:rsidR="00914DE2" w:rsidRDefault="00000000" w:rsidP="00BC2DFD">
      <w:pPr>
        <w:pStyle w:val="Heading2"/>
        <w:numPr>
          <w:ilvl w:val="1"/>
          <w:numId w:val="12"/>
        </w:numPr>
      </w:pPr>
      <w:r w:rsidRPr="006C7A76">
        <w:t>Data Acquisition</w:t>
      </w:r>
    </w:p>
    <w:p w14:paraId="57814BA2" w14:textId="77777777" w:rsidR="00914DE2" w:rsidRDefault="00000000" w:rsidP="00D57912">
      <w:pPr>
        <w:tabs>
          <w:tab w:val="left" w:pos="288"/>
        </w:tabs>
        <w:spacing w:after="120" w:line="228" w:lineRule="auto"/>
        <w:ind w:firstLine="289"/>
        <w:jc w:val="both"/>
        <w:rPr>
          <w:lang w:val="en-GB"/>
        </w:rPr>
      </w:pPr>
      <w:r w:rsidRPr="006C7A76">
        <w:t>This study uses hotspot data in the West Kalimantan region. The hotspot data is obtained from the early detection information system for forest and land fire control (Sipongi). The dataset used is time series data from 2013 to 2022. Features or variables in the dataset include date, district, sub-district, village, time, satellite and confidence (hotspot level). The total data obtained was 166,980 records. The details of the hotspot dataset can be seen in Fig 1.</w:t>
      </w:r>
    </w:p>
    <w:p w14:paraId="163F58A6" w14:textId="77777777" w:rsidR="00D57912" w:rsidRDefault="00000000" w:rsidP="008C52C9">
      <w:pPr>
        <w:tabs>
          <w:tab w:val="left" w:pos="288"/>
        </w:tabs>
        <w:spacing w:after="120"/>
        <w:rPr>
          <w:lang w:val="en-GB"/>
        </w:rPr>
      </w:pPr>
      <w:r>
        <w:rPr>
          <w:noProof/>
          <w:lang w:val="en-GB"/>
        </w:rPr>
        <w:drawing>
          <wp:inline distT="0" distB="0" distL="0" distR="0" wp14:anchorId="316A5C6E" wp14:editId="5868AF84">
            <wp:extent cx="3164842" cy="1944923"/>
            <wp:effectExtent l="19050" t="19050" r="16510" b="17780"/>
            <wp:docPr id="121210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09537"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90661" cy="1960790"/>
                    </a:xfrm>
                    <a:prstGeom prst="rect">
                      <a:avLst/>
                    </a:prstGeom>
                    <a:noFill/>
                    <a:ln w="3175">
                      <a:solidFill>
                        <a:srgbClr val="000000"/>
                      </a:solidFill>
                      <a:miter lim="800000"/>
                      <a:headEnd/>
                      <a:tailEnd/>
                    </a:ln>
                  </pic:spPr>
                </pic:pic>
              </a:graphicData>
            </a:graphic>
          </wp:inline>
        </w:drawing>
      </w:r>
    </w:p>
    <w:p w14:paraId="1738A722" w14:textId="77777777" w:rsidR="00BC2DFD" w:rsidRDefault="00000000" w:rsidP="00D57912">
      <w:pPr>
        <w:tabs>
          <w:tab w:val="left" w:pos="288"/>
        </w:tabs>
        <w:spacing w:after="120"/>
        <w:rPr>
          <w:lang w:val="en-GB"/>
        </w:rPr>
      </w:pPr>
      <w:r>
        <w:rPr>
          <w:sz w:val="16"/>
          <w:szCs w:val="16"/>
          <w:lang w:val="en-GB"/>
        </w:rPr>
        <w:t>Fig</w:t>
      </w:r>
      <w:r w:rsidRPr="00225282">
        <w:rPr>
          <w:sz w:val="16"/>
          <w:szCs w:val="16"/>
          <w:lang w:val="en-GB"/>
        </w:rPr>
        <w:t xml:space="preserve"> 1. </w:t>
      </w:r>
      <w:r w:rsidRPr="006C7A76">
        <w:rPr>
          <w:sz w:val="16"/>
          <w:szCs w:val="16"/>
        </w:rPr>
        <w:t>West Kalimantan hotspot dataset 2013-2022</w:t>
      </w:r>
    </w:p>
    <w:p w14:paraId="73707A1F" w14:textId="77777777" w:rsidR="00914DE2" w:rsidRDefault="00000000" w:rsidP="00BC2DFD">
      <w:pPr>
        <w:pStyle w:val="Heading2"/>
        <w:numPr>
          <w:ilvl w:val="1"/>
          <w:numId w:val="12"/>
        </w:numPr>
      </w:pPr>
      <w:r>
        <w:t>Pre</w:t>
      </w:r>
      <w:r w:rsidR="008C52C9">
        <w:t>p</w:t>
      </w:r>
      <w:r>
        <w:t>rocessing</w:t>
      </w:r>
    </w:p>
    <w:p w14:paraId="3D09EEFF" w14:textId="77777777" w:rsidR="004D70F8" w:rsidRPr="004D70F8" w:rsidRDefault="00000000" w:rsidP="004D70F8">
      <w:pPr>
        <w:pStyle w:val="Heading3"/>
        <w:numPr>
          <w:ilvl w:val="0"/>
          <w:numId w:val="13"/>
        </w:numPr>
        <w:ind w:left="426" w:hanging="283"/>
        <w:rPr>
          <w:i w:val="0"/>
          <w:iCs/>
        </w:rPr>
      </w:pPr>
      <w:r w:rsidRPr="006C7A76">
        <w:rPr>
          <w:i w:val="0"/>
          <w:iCs/>
        </w:rPr>
        <w:t>Missing Value Handling</w:t>
      </w:r>
    </w:p>
    <w:p w14:paraId="412290AB" w14:textId="77777777" w:rsidR="00914DE2" w:rsidRDefault="00000000" w:rsidP="00D57912">
      <w:pPr>
        <w:spacing w:after="120"/>
        <w:ind w:left="142" w:firstLine="284"/>
        <w:jc w:val="both"/>
      </w:pPr>
      <w:r w:rsidRPr="006C7A76">
        <w:t>After collecting the data, the next step is to preprocess the forest and land fire hotspot occurrence dataset in West Kalimantan. Preprocessing is done by checking and removing missing values. The results of checking missing values can be seen in Fig 2.</w:t>
      </w:r>
    </w:p>
    <w:p w14:paraId="6614B667" w14:textId="77777777" w:rsidR="002C3F69" w:rsidRDefault="00000000" w:rsidP="00D57912">
      <w:pPr>
        <w:spacing w:after="120"/>
      </w:pPr>
      <w:r>
        <w:rPr>
          <w:noProof/>
        </w:rPr>
        <w:drawing>
          <wp:inline distT="0" distB="0" distL="0" distR="0" wp14:anchorId="432246B3" wp14:editId="00091224">
            <wp:extent cx="969997" cy="1181100"/>
            <wp:effectExtent l="19050" t="19050" r="20955" b="19050"/>
            <wp:docPr id="1267220950" name="Picture 126722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2095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85860" cy="1200415"/>
                    </a:xfrm>
                    <a:prstGeom prst="rect">
                      <a:avLst/>
                    </a:prstGeom>
                    <a:noFill/>
                    <a:ln w="3175">
                      <a:solidFill>
                        <a:srgbClr val="000000"/>
                      </a:solidFill>
                      <a:miter lim="800000"/>
                      <a:headEnd/>
                      <a:tailEnd/>
                    </a:ln>
                  </pic:spPr>
                </pic:pic>
              </a:graphicData>
            </a:graphic>
          </wp:inline>
        </w:drawing>
      </w:r>
    </w:p>
    <w:p w14:paraId="43A675CB" w14:textId="77777777" w:rsidR="002C3F69" w:rsidRDefault="00000000" w:rsidP="007056B8">
      <w:pPr>
        <w:tabs>
          <w:tab w:val="left" w:pos="288"/>
        </w:tabs>
        <w:spacing w:after="120"/>
      </w:pPr>
      <w:r>
        <w:rPr>
          <w:sz w:val="16"/>
          <w:szCs w:val="16"/>
          <w:lang w:val="en-GB"/>
        </w:rPr>
        <w:t>Fig</w:t>
      </w:r>
      <w:r w:rsidRPr="00CB7367">
        <w:rPr>
          <w:sz w:val="16"/>
          <w:szCs w:val="16"/>
          <w:lang w:val="en-GB"/>
        </w:rPr>
        <w:t xml:space="preserve"> 2. </w:t>
      </w:r>
      <w:r w:rsidRPr="006C7A76">
        <w:rPr>
          <w:sz w:val="16"/>
          <w:szCs w:val="16"/>
        </w:rPr>
        <w:t>Result of checking missing values dataset</w:t>
      </w:r>
    </w:p>
    <w:p w14:paraId="6401C78F" w14:textId="77777777" w:rsidR="00F25477" w:rsidRDefault="00000000" w:rsidP="008C52C9">
      <w:pPr>
        <w:tabs>
          <w:tab w:val="left" w:pos="288"/>
        </w:tabs>
        <w:spacing w:after="120" w:line="228" w:lineRule="auto"/>
        <w:jc w:val="both"/>
      </w:pPr>
      <w:r>
        <w:tab/>
      </w:r>
      <w:r w:rsidR="006C7A76" w:rsidRPr="006C7A76">
        <w:t>The check results obtained missing values in the sub-district variable as much as 15 data and in the village variable as much as 14. Therefore, the missing values can be handled by deleting the data rows containing missing values, and the results can be seen in Fig 3.</w:t>
      </w:r>
    </w:p>
    <w:p w14:paraId="3351987C" w14:textId="77777777" w:rsidR="00D57912" w:rsidRDefault="00000000" w:rsidP="00F25477">
      <w:pPr>
        <w:tabs>
          <w:tab w:val="left" w:pos="288"/>
        </w:tabs>
        <w:spacing w:after="120" w:line="228" w:lineRule="auto"/>
      </w:pPr>
      <w:r>
        <w:rPr>
          <w:noProof/>
        </w:rPr>
        <w:drawing>
          <wp:inline distT="0" distB="0" distL="0" distR="0" wp14:anchorId="1ADBBB22" wp14:editId="5AC3A001">
            <wp:extent cx="1021715" cy="1168400"/>
            <wp:effectExtent l="19050" t="19050" r="26035" b="12700"/>
            <wp:docPr id="856409147" name="Picture 85640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09147"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27135" cy="1174598"/>
                    </a:xfrm>
                    <a:prstGeom prst="rect">
                      <a:avLst/>
                    </a:prstGeom>
                    <a:noFill/>
                    <a:ln w="3175">
                      <a:solidFill>
                        <a:srgbClr val="000000"/>
                      </a:solidFill>
                      <a:miter lim="800000"/>
                      <a:headEnd/>
                      <a:tailEnd/>
                    </a:ln>
                  </pic:spPr>
                </pic:pic>
              </a:graphicData>
            </a:graphic>
          </wp:inline>
        </w:drawing>
      </w:r>
    </w:p>
    <w:p w14:paraId="5C539739" w14:textId="77777777" w:rsidR="00F25477" w:rsidRPr="00225282" w:rsidRDefault="00000000" w:rsidP="00F25477">
      <w:pPr>
        <w:tabs>
          <w:tab w:val="left" w:pos="288"/>
        </w:tabs>
        <w:spacing w:after="120" w:line="228" w:lineRule="auto"/>
        <w:rPr>
          <w:sz w:val="16"/>
          <w:szCs w:val="16"/>
        </w:rPr>
      </w:pPr>
      <w:r>
        <w:rPr>
          <w:sz w:val="16"/>
          <w:szCs w:val="16"/>
          <w:lang w:val="en-GB"/>
        </w:rPr>
        <w:t>Fig</w:t>
      </w:r>
      <w:r w:rsidRPr="00225282">
        <w:rPr>
          <w:sz w:val="16"/>
          <w:szCs w:val="16"/>
          <w:lang w:val="en-GB"/>
        </w:rPr>
        <w:t xml:space="preserve"> 3. </w:t>
      </w:r>
      <w:r w:rsidRPr="00A75208">
        <w:rPr>
          <w:sz w:val="16"/>
          <w:szCs w:val="16"/>
        </w:rPr>
        <w:t>Results of handling missing values dataset</w:t>
      </w:r>
    </w:p>
    <w:p w14:paraId="0DDD5F2B" w14:textId="77777777" w:rsidR="009A2374" w:rsidRDefault="00000000" w:rsidP="009A2374">
      <w:pPr>
        <w:tabs>
          <w:tab w:val="left" w:pos="288"/>
        </w:tabs>
        <w:spacing w:after="120" w:line="228" w:lineRule="auto"/>
        <w:jc w:val="both"/>
      </w:pPr>
      <w:r>
        <w:lastRenderedPageBreak/>
        <w:tab/>
      </w:r>
      <w:r w:rsidR="00A75208" w:rsidRPr="00A75208">
        <w:t>Missing values handling is done by deleting data in empty rows or columns (null) so that the amount of data decreases after handling missing values to 166,965 records. As for seeing the details of the data frame data after holding missing values, it can be seen in Fig 4.</w:t>
      </w:r>
    </w:p>
    <w:p w14:paraId="0098B8F6" w14:textId="77777777" w:rsidR="001618CE" w:rsidRDefault="00000000" w:rsidP="009A2374">
      <w:pPr>
        <w:tabs>
          <w:tab w:val="left" w:pos="288"/>
        </w:tabs>
        <w:spacing w:after="120" w:line="228" w:lineRule="auto"/>
        <w:jc w:val="both"/>
      </w:pPr>
      <w:r>
        <w:rPr>
          <w:noProof/>
        </w:rPr>
        <w:drawing>
          <wp:inline distT="0" distB="0" distL="0" distR="0" wp14:anchorId="6988269E" wp14:editId="0B7F6D02">
            <wp:extent cx="3204499" cy="1656715"/>
            <wp:effectExtent l="19050" t="19050" r="15240" b="19685"/>
            <wp:docPr id="1591101540" name="Picture 159110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0154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06196" cy="1657592"/>
                    </a:xfrm>
                    <a:prstGeom prst="rect">
                      <a:avLst/>
                    </a:prstGeom>
                    <a:noFill/>
                    <a:ln w="3175">
                      <a:solidFill>
                        <a:srgbClr val="000000"/>
                      </a:solidFill>
                      <a:miter lim="800000"/>
                      <a:headEnd/>
                      <a:tailEnd/>
                    </a:ln>
                  </pic:spPr>
                </pic:pic>
              </a:graphicData>
            </a:graphic>
          </wp:inline>
        </w:drawing>
      </w:r>
    </w:p>
    <w:p w14:paraId="7DFC5BA7" w14:textId="77777777" w:rsidR="001618CE" w:rsidRDefault="00000000" w:rsidP="009A2374">
      <w:pPr>
        <w:tabs>
          <w:tab w:val="left" w:pos="288"/>
        </w:tabs>
        <w:spacing w:after="120" w:line="228" w:lineRule="auto"/>
      </w:pPr>
      <w:r>
        <w:rPr>
          <w:sz w:val="16"/>
          <w:szCs w:val="16"/>
          <w:lang w:val="en-GB"/>
        </w:rPr>
        <w:t>Fig</w:t>
      </w:r>
      <w:r w:rsidR="00B67085" w:rsidRPr="00225282">
        <w:rPr>
          <w:sz w:val="16"/>
          <w:szCs w:val="16"/>
          <w:lang w:val="en-GB"/>
        </w:rPr>
        <w:t xml:space="preserve"> </w:t>
      </w:r>
      <w:r w:rsidR="00F607AA" w:rsidRPr="00225282">
        <w:rPr>
          <w:sz w:val="16"/>
          <w:szCs w:val="16"/>
          <w:lang w:val="en-GB"/>
        </w:rPr>
        <w:t>4</w:t>
      </w:r>
      <w:r w:rsidR="00B67085" w:rsidRPr="00225282">
        <w:rPr>
          <w:sz w:val="16"/>
          <w:szCs w:val="16"/>
          <w:lang w:val="en-GB"/>
        </w:rPr>
        <w:t xml:space="preserve">. </w:t>
      </w:r>
      <w:r w:rsidRPr="00A75208">
        <w:rPr>
          <w:sz w:val="16"/>
          <w:szCs w:val="16"/>
        </w:rPr>
        <w:t>Dataset of missing value handling results</w:t>
      </w:r>
    </w:p>
    <w:p w14:paraId="55550EE7" w14:textId="77777777" w:rsidR="006E49D1" w:rsidRPr="004D70F8" w:rsidRDefault="00000000" w:rsidP="006E49D1">
      <w:pPr>
        <w:pStyle w:val="Heading3"/>
        <w:numPr>
          <w:ilvl w:val="0"/>
          <w:numId w:val="13"/>
        </w:numPr>
        <w:ind w:left="426" w:hanging="284"/>
        <w:rPr>
          <w:i w:val="0"/>
          <w:iCs/>
        </w:rPr>
      </w:pPr>
      <w:r w:rsidRPr="00A75208">
        <w:rPr>
          <w:i w:val="0"/>
          <w:iCs/>
        </w:rPr>
        <w:t>Data Integration</w:t>
      </w:r>
    </w:p>
    <w:p w14:paraId="3B299540" w14:textId="77777777" w:rsidR="006E49D1" w:rsidRDefault="00000000" w:rsidP="006A48D1">
      <w:pPr>
        <w:spacing w:after="120"/>
        <w:ind w:left="142" w:firstLine="284"/>
        <w:jc w:val="both"/>
      </w:pPr>
      <w:r w:rsidRPr="00A75208">
        <w:t>Furthermore, data integration is carried out by checking and changing the data type, sorting data based on district variables, date and confidence (hotspot level), grouping the number of hotspot events, and grouping hotspot data based on date, month and year. Based on this process, 120 records were generated with two variables, namely date (index variable) and count (hotspot count variable). The results of data integration can be seen in Fig 5.</w:t>
      </w:r>
      <w:r>
        <w:t xml:space="preserve"> </w:t>
      </w:r>
    </w:p>
    <w:p w14:paraId="454F9037" w14:textId="77777777" w:rsidR="006E49D1" w:rsidRDefault="00000000" w:rsidP="006A48D1">
      <w:pPr>
        <w:spacing w:after="120"/>
        <w:ind w:left="142" w:firstLine="284"/>
      </w:pPr>
      <w:r>
        <w:rPr>
          <w:noProof/>
        </w:rPr>
        <w:drawing>
          <wp:inline distT="0" distB="0" distL="0" distR="0" wp14:anchorId="1EEB44BB" wp14:editId="42B86B76">
            <wp:extent cx="1057910" cy="1782590"/>
            <wp:effectExtent l="19050" t="19050" r="27940" b="27305"/>
            <wp:docPr id="21460364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6438"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60017" cy="1786140"/>
                    </a:xfrm>
                    <a:prstGeom prst="rect">
                      <a:avLst/>
                    </a:prstGeom>
                    <a:noFill/>
                    <a:ln w="3175">
                      <a:solidFill>
                        <a:srgbClr val="000000"/>
                      </a:solidFill>
                      <a:miter lim="800000"/>
                      <a:headEnd/>
                      <a:tailEnd/>
                    </a:ln>
                  </pic:spPr>
                </pic:pic>
              </a:graphicData>
            </a:graphic>
          </wp:inline>
        </w:drawing>
      </w:r>
    </w:p>
    <w:p w14:paraId="185C7143" w14:textId="77777777" w:rsidR="006E49D1" w:rsidRDefault="00000000" w:rsidP="006E49D1">
      <w:pPr>
        <w:tabs>
          <w:tab w:val="left" w:pos="288"/>
        </w:tabs>
      </w:pPr>
      <w:r>
        <w:rPr>
          <w:sz w:val="16"/>
          <w:szCs w:val="16"/>
          <w:lang w:val="en-GB"/>
        </w:rPr>
        <w:t>Fig</w:t>
      </w:r>
      <w:r w:rsidRPr="00225282">
        <w:rPr>
          <w:sz w:val="16"/>
          <w:szCs w:val="16"/>
          <w:lang w:val="en-GB"/>
        </w:rPr>
        <w:t xml:space="preserve"> </w:t>
      </w:r>
      <w:r w:rsidR="0006646E" w:rsidRPr="00225282">
        <w:rPr>
          <w:sz w:val="16"/>
          <w:szCs w:val="16"/>
          <w:lang w:val="en-GB"/>
        </w:rPr>
        <w:t>5</w:t>
      </w:r>
      <w:r w:rsidRPr="00225282">
        <w:rPr>
          <w:sz w:val="16"/>
          <w:szCs w:val="16"/>
          <w:lang w:val="en-GB"/>
        </w:rPr>
        <w:t xml:space="preserve">. </w:t>
      </w:r>
      <w:r w:rsidRPr="00A75208">
        <w:rPr>
          <w:sz w:val="16"/>
          <w:szCs w:val="16"/>
        </w:rPr>
        <w:t>Datasets resulting from the data integration stage</w:t>
      </w:r>
    </w:p>
    <w:p w14:paraId="2D71E4AB" w14:textId="77777777" w:rsidR="002C3F69" w:rsidRPr="00FD0B3B" w:rsidRDefault="00000000" w:rsidP="002C3F69">
      <w:pPr>
        <w:pStyle w:val="Heading2"/>
        <w:numPr>
          <w:ilvl w:val="1"/>
          <w:numId w:val="12"/>
        </w:numPr>
        <w:rPr>
          <w:iCs/>
        </w:rPr>
      </w:pPr>
      <w:r w:rsidRPr="00A75208">
        <w:rPr>
          <w:iCs/>
        </w:rPr>
        <w:t>Model Identification</w:t>
      </w:r>
    </w:p>
    <w:p w14:paraId="055E38FC" w14:textId="77777777" w:rsidR="002C3F69" w:rsidRDefault="00A75208" w:rsidP="00D95B9F">
      <w:pPr>
        <w:tabs>
          <w:tab w:val="left" w:pos="288"/>
        </w:tabs>
        <w:spacing w:after="120" w:line="228" w:lineRule="auto"/>
        <w:ind w:firstLine="288"/>
        <w:jc w:val="both"/>
      </w:pPr>
      <w:r w:rsidRPr="00A75208">
        <w:t>Several processes will be carried out in the model identification stage, such as making time series plots, performing the Augmented Dickey-Fuller Test stationary test, and making ACF and PACF plots. This identification aims to get the best model that matches the available data, namely West Kalimantan Forest and land fire hotspot data.</w:t>
      </w:r>
    </w:p>
    <w:p w14:paraId="0ABCCC41" w14:textId="77777777" w:rsidR="00306E70" w:rsidRPr="004D70F8" w:rsidRDefault="00000000" w:rsidP="00306E70">
      <w:pPr>
        <w:pStyle w:val="Heading3"/>
        <w:numPr>
          <w:ilvl w:val="0"/>
          <w:numId w:val="15"/>
        </w:numPr>
        <w:ind w:left="426" w:hanging="284"/>
        <w:rPr>
          <w:i w:val="0"/>
          <w:iCs/>
        </w:rPr>
      </w:pPr>
      <w:r w:rsidRPr="00773513">
        <w:rPr>
          <w:i w:val="0"/>
          <w:iCs/>
        </w:rPr>
        <w:t>Create a time series plot.</w:t>
      </w:r>
    </w:p>
    <w:p w14:paraId="07F48FA4" w14:textId="77777777" w:rsidR="007B0158" w:rsidRDefault="00000000" w:rsidP="00E15897">
      <w:pPr>
        <w:tabs>
          <w:tab w:val="left" w:pos="426"/>
        </w:tabs>
        <w:spacing w:after="120" w:line="228" w:lineRule="auto"/>
        <w:ind w:left="142"/>
        <w:jc w:val="both"/>
      </w:pPr>
      <w:r>
        <w:tab/>
      </w:r>
      <w:r w:rsidR="00773513" w:rsidRPr="00773513">
        <w:t>Make a time series plot to see the data's stationarity in mean or variance. Then, the data is used to decompose the components in the time series data. The results of the time series plot can be seen in Fig 6.</w:t>
      </w:r>
    </w:p>
    <w:p w14:paraId="4C3738A1" w14:textId="77777777" w:rsidR="007B0158" w:rsidRDefault="00000000" w:rsidP="00306E70">
      <w:pPr>
        <w:tabs>
          <w:tab w:val="left" w:pos="288"/>
        </w:tabs>
        <w:spacing w:after="80" w:line="228" w:lineRule="auto"/>
        <w:ind w:firstLine="142"/>
        <w:jc w:val="both"/>
      </w:pPr>
      <w:r>
        <w:rPr>
          <w:noProof/>
        </w:rPr>
        <w:drawing>
          <wp:inline distT="0" distB="0" distL="0" distR="0" wp14:anchorId="37FF6A2E" wp14:editId="5C993828">
            <wp:extent cx="3076118" cy="1659279"/>
            <wp:effectExtent l="19050" t="19050" r="10160" b="17145"/>
            <wp:docPr id="18385668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6687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81711" cy="1662296"/>
                    </a:xfrm>
                    <a:prstGeom prst="rect">
                      <a:avLst/>
                    </a:prstGeom>
                    <a:noFill/>
                    <a:ln w="3175">
                      <a:solidFill>
                        <a:srgbClr val="000000"/>
                      </a:solidFill>
                      <a:miter lim="800000"/>
                      <a:headEnd/>
                      <a:tailEnd/>
                    </a:ln>
                  </pic:spPr>
                </pic:pic>
              </a:graphicData>
            </a:graphic>
          </wp:inline>
        </w:drawing>
      </w:r>
    </w:p>
    <w:p w14:paraId="7D845F36" w14:textId="77777777" w:rsidR="002C3F69" w:rsidRPr="00225282" w:rsidRDefault="00000000" w:rsidP="00306E70">
      <w:pPr>
        <w:ind w:firstLine="284"/>
        <w:rPr>
          <w:sz w:val="16"/>
          <w:szCs w:val="16"/>
        </w:rPr>
      </w:pPr>
      <w:r>
        <w:rPr>
          <w:sz w:val="16"/>
          <w:szCs w:val="16"/>
          <w:lang w:val="en-GB"/>
        </w:rPr>
        <w:t>Fig</w:t>
      </w:r>
      <w:r w:rsidRPr="00225282">
        <w:rPr>
          <w:sz w:val="16"/>
          <w:szCs w:val="16"/>
          <w:lang w:val="en-GB"/>
        </w:rPr>
        <w:t xml:space="preserve"> </w:t>
      </w:r>
      <w:r w:rsidR="0006646E" w:rsidRPr="00225282">
        <w:rPr>
          <w:sz w:val="16"/>
          <w:szCs w:val="16"/>
          <w:lang w:val="en-GB"/>
        </w:rPr>
        <w:t>6</w:t>
      </w:r>
      <w:r w:rsidRPr="00225282">
        <w:rPr>
          <w:sz w:val="16"/>
          <w:szCs w:val="16"/>
          <w:lang w:val="en-GB"/>
        </w:rPr>
        <w:t xml:space="preserve">. </w:t>
      </w:r>
      <w:r w:rsidRPr="00773513">
        <w:rPr>
          <w:sz w:val="16"/>
          <w:szCs w:val="16"/>
        </w:rPr>
        <w:t>Time series plot of the hotspot dataset</w:t>
      </w:r>
    </w:p>
    <w:p w14:paraId="5A459BF1" w14:textId="77777777" w:rsidR="00D47CC9" w:rsidRDefault="00000000" w:rsidP="007504A8">
      <w:pPr>
        <w:tabs>
          <w:tab w:val="left" w:pos="426"/>
        </w:tabs>
        <w:spacing w:before="120" w:after="120" w:line="228" w:lineRule="auto"/>
        <w:ind w:left="142"/>
        <w:jc w:val="both"/>
      </w:pPr>
      <w:r>
        <w:tab/>
      </w:r>
      <w:r w:rsidR="00773513" w:rsidRPr="00773513">
        <w:t>The resulting time series plot results show that the mean and variance of hotspots are not constant throughout 2013-2022, so the hotspot data is not stationary in mean and variance.</w:t>
      </w:r>
      <w:r>
        <w:t xml:space="preserve"> </w:t>
      </w:r>
      <w:r w:rsidR="00B82D8A">
        <w:tab/>
      </w:r>
    </w:p>
    <w:p w14:paraId="3B7C5A2C" w14:textId="77777777" w:rsidR="002C3F69" w:rsidRDefault="00000000" w:rsidP="007504A8">
      <w:pPr>
        <w:tabs>
          <w:tab w:val="left" w:pos="426"/>
        </w:tabs>
        <w:spacing w:before="120" w:after="120" w:line="228" w:lineRule="auto"/>
        <w:ind w:left="142"/>
        <w:jc w:val="both"/>
      </w:pPr>
      <w:r>
        <w:tab/>
      </w:r>
      <w:r w:rsidR="00773513" w:rsidRPr="00773513">
        <w:t xml:space="preserve">After seeing the trend of the data from the time series plot, decompose the data, which aims to decompose the time series data into several components or identify seasonality and trends from a series of data. The results of the hotspot dataset decompose can be seen in Fig 7 and </w:t>
      </w:r>
      <w:r w:rsidR="00956CF1">
        <w:t xml:space="preserve">Fig </w:t>
      </w:r>
      <w:r w:rsidR="00773513" w:rsidRPr="00773513">
        <w:t>8.</w:t>
      </w:r>
    </w:p>
    <w:p w14:paraId="2C9C19DC" w14:textId="77777777" w:rsidR="007504A8" w:rsidRDefault="00000000" w:rsidP="007504A8">
      <w:pPr>
        <w:tabs>
          <w:tab w:val="left" w:pos="426"/>
        </w:tabs>
        <w:spacing w:after="120" w:line="228" w:lineRule="auto"/>
        <w:ind w:left="142"/>
        <w:jc w:val="both"/>
      </w:pPr>
      <w:r>
        <w:rPr>
          <w:noProof/>
        </w:rPr>
        <w:drawing>
          <wp:inline distT="0" distB="0" distL="0" distR="0" wp14:anchorId="7D0C4160" wp14:editId="34ED37B8">
            <wp:extent cx="3111500" cy="1592466"/>
            <wp:effectExtent l="19050" t="19050" r="12700" b="27305"/>
            <wp:docPr id="431886113" name="Picture 4318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6113"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12518" cy="1592987"/>
                    </a:xfrm>
                    <a:prstGeom prst="rect">
                      <a:avLst/>
                    </a:prstGeom>
                    <a:noFill/>
                    <a:ln w="3175">
                      <a:solidFill>
                        <a:srgbClr val="000000"/>
                      </a:solidFill>
                      <a:miter lim="800000"/>
                      <a:headEnd/>
                      <a:tailEnd/>
                    </a:ln>
                  </pic:spPr>
                </pic:pic>
              </a:graphicData>
            </a:graphic>
          </wp:inline>
        </w:drawing>
      </w:r>
    </w:p>
    <w:p w14:paraId="7B98D885" w14:textId="77777777" w:rsidR="007504A8" w:rsidRPr="00225282" w:rsidRDefault="00000000" w:rsidP="00B82D8A">
      <w:pPr>
        <w:tabs>
          <w:tab w:val="left" w:pos="426"/>
        </w:tabs>
        <w:spacing w:after="120" w:line="228" w:lineRule="auto"/>
        <w:ind w:left="142"/>
        <w:rPr>
          <w:i/>
          <w:sz w:val="16"/>
          <w:szCs w:val="16"/>
        </w:rPr>
      </w:pPr>
      <w:r>
        <w:rPr>
          <w:sz w:val="16"/>
          <w:szCs w:val="16"/>
          <w:lang w:val="en-GB"/>
        </w:rPr>
        <w:t>Fig</w:t>
      </w:r>
      <w:r w:rsidR="00956CF1">
        <w:rPr>
          <w:sz w:val="16"/>
          <w:szCs w:val="16"/>
          <w:lang w:val="en-GB"/>
        </w:rPr>
        <w:t xml:space="preserve"> </w:t>
      </w:r>
      <w:r w:rsidR="0059257F" w:rsidRPr="00225282">
        <w:rPr>
          <w:sz w:val="16"/>
          <w:szCs w:val="16"/>
          <w:lang w:val="en-GB"/>
        </w:rPr>
        <w:t>7</w:t>
      </w:r>
      <w:r w:rsidR="00B82D8A" w:rsidRPr="00225282">
        <w:rPr>
          <w:sz w:val="16"/>
          <w:szCs w:val="16"/>
          <w:lang w:val="en-GB"/>
        </w:rPr>
        <w:t xml:space="preserve">. </w:t>
      </w:r>
      <w:r w:rsidRPr="00773513">
        <w:rPr>
          <w:sz w:val="16"/>
          <w:szCs w:val="16"/>
        </w:rPr>
        <w:t>Additive decomposition plot of data hotspots</w:t>
      </w:r>
    </w:p>
    <w:p w14:paraId="31B77116" w14:textId="77777777" w:rsidR="00B82D8A" w:rsidRPr="00B82D8A" w:rsidRDefault="00000000" w:rsidP="008C3BAD">
      <w:pPr>
        <w:tabs>
          <w:tab w:val="left" w:pos="426"/>
        </w:tabs>
        <w:spacing w:after="120" w:line="228" w:lineRule="auto"/>
        <w:ind w:left="142"/>
        <w:jc w:val="both"/>
        <w:rPr>
          <w:iCs/>
        </w:rPr>
      </w:pPr>
      <w:r>
        <w:rPr>
          <w:noProof/>
        </w:rPr>
        <w:drawing>
          <wp:inline distT="0" distB="0" distL="0" distR="0" wp14:anchorId="3E6D8FB8" wp14:editId="0C2F635C">
            <wp:extent cx="3086100" cy="1610574"/>
            <wp:effectExtent l="19050" t="19050" r="19050" b="27940"/>
            <wp:docPr id="36031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19835" name=""/>
                    <pic:cNvPicPr/>
                  </pic:nvPicPr>
                  <pic:blipFill>
                    <a:blip r:embed="rId17"/>
                    <a:stretch>
                      <a:fillRect/>
                    </a:stretch>
                  </pic:blipFill>
                  <pic:spPr>
                    <a:xfrm>
                      <a:off x="0" y="0"/>
                      <a:ext cx="3086510" cy="1610788"/>
                    </a:xfrm>
                    <a:prstGeom prst="rect">
                      <a:avLst/>
                    </a:prstGeom>
                    <a:ln w="3175">
                      <a:solidFill>
                        <a:schemeClr val="tx1"/>
                      </a:solidFill>
                    </a:ln>
                  </pic:spPr>
                </pic:pic>
              </a:graphicData>
            </a:graphic>
          </wp:inline>
        </w:drawing>
      </w:r>
    </w:p>
    <w:p w14:paraId="657A1BC0" w14:textId="77777777" w:rsidR="00B82D8A" w:rsidRPr="00225282" w:rsidRDefault="00000000" w:rsidP="007504A8">
      <w:pPr>
        <w:tabs>
          <w:tab w:val="left" w:pos="426"/>
        </w:tabs>
        <w:spacing w:after="120" w:line="228" w:lineRule="auto"/>
        <w:ind w:left="142"/>
        <w:rPr>
          <w:i/>
          <w:sz w:val="16"/>
          <w:szCs w:val="16"/>
        </w:rPr>
      </w:pPr>
      <w:r>
        <w:rPr>
          <w:sz w:val="16"/>
          <w:szCs w:val="16"/>
          <w:lang w:val="en-GB"/>
        </w:rPr>
        <w:t>Fig</w:t>
      </w:r>
      <w:r w:rsidRPr="00225282">
        <w:rPr>
          <w:sz w:val="16"/>
          <w:szCs w:val="16"/>
          <w:lang w:val="en-GB"/>
        </w:rPr>
        <w:t xml:space="preserve"> </w:t>
      </w:r>
      <w:r w:rsidR="0059257F" w:rsidRPr="00225282">
        <w:rPr>
          <w:sz w:val="16"/>
          <w:szCs w:val="16"/>
          <w:lang w:val="en-GB"/>
        </w:rPr>
        <w:t>8</w:t>
      </w:r>
      <w:r w:rsidRPr="00225282">
        <w:rPr>
          <w:sz w:val="16"/>
          <w:szCs w:val="16"/>
          <w:lang w:val="en-GB"/>
        </w:rPr>
        <w:t xml:space="preserve">. </w:t>
      </w:r>
      <w:r w:rsidRPr="00773513">
        <w:rPr>
          <w:sz w:val="16"/>
          <w:szCs w:val="16"/>
        </w:rPr>
        <w:t>Multiplicative decompose plot of hotspot data</w:t>
      </w:r>
    </w:p>
    <w:p w14:paraId="18878EE3" w14:textId="77777777" w:rsidR="008C3BAD" w:rsidRDefault="00000000" w:rsidP="00BB77A8">
      <w:pPr>
        <w:tabs>
          <w:tab w:val="left" w:pos="426"/>
        </w:tabs>
        <w:spacing w:after="120" w:line="228" w:lineRule="auto"/>
        <w:ind w:left="142"/>
        <w:jc w:val="both"/>
      </w:pPr>
      <w:r>
        <w:rPr>
          <w:i/>
          <w:iCs/>
        </w:rPr>
        <w:tab/>
      </w:r>
      <w:r w:rsidR="008E3A34" w:rsidRPr="008E3A34">
        <w:t>The results of additive decomposition and multiplicative decomposition explain the trend component related to the fluctuation of the data; the seasonal part shows the recurring pattern of variation that occurs in the hotspot data, and the residual component shows the remaining noise from the hotspot data. The three members explain the fluctuations of non-stationary time series data.</w:t>
      </w:r>
    </w:p>
    <w:p w14:paraId="7143717F" w14:textId="77777777" w:rsidR="00F06830" w:rsidRDefault="00F06830" w:rsidP="00BB77A8">
      <w:pPr>
        <w:tabs>
          <w:tab w:val="left" w:pos="426"/>
        </w:tabs>
        <w:spacing w:after="120" w:line="228" w:lineRule="auto"/>
        <w:ind w:left="142"/>
        <w:jc w:val="both"/>
      </w:pPr>
    </w:p>
    <w:p w14:paraId="238150CA" w14:textId="77777777" w:rsidR="00B82D8A" w:rsidRPr="003706B3" w:rsidRDefault="00000000" w:rsidP="00B82D8A">
      <w:pPr>
        <w:pStyle w:val="Heading3"/>
        <w:numPr>
          <w:ilvl w:val="0"/>
          <w:numId w:val="15"/>
        </w:numPr>
        <w:ind w:left="426" w:hanging="284"/>
        <w:rPr>
          <w:iCs/>
        </w:rPr>
      </w:pPr>
      <w:r w:rsidRPr="003706B3">
        <w:rPr>
          <w:iCs/>
        </w:rPr>
        <w:lastRenderedPageBreak/>
        <w:t>Augmented Dickey-Fuller Test</w:t>
      </w:r>
    </w:p>
    <w:p w14:paraId="3305234F" w14:textId="77777777" w:rsidR="00A31E59" w:rsidRDefault="00000000" w:rsidP="0059257F">
      <w:pPr>
        <w:spacing w:after="120"/>
        <w:ind w:left="142" w:firstLine="142"/>
        <w:jc w:val="both"/>
        <w:rPr>
          <w:noProof/>
        </w:rPr>
      </w:pPr>
      <w:r w:rsidRPr="003706B3">
        <w:t xml:space="preserve"> </w:t>
      </w:r>
      <w:r w:rsidR="00A14A70">
        <w:t xml:space="preserve"> </w:t>
      </w:r>
      <w:r w:rsidR="008E3A34" w:rsidRPr="008E3A34">
        <w:t xml:space="preserve">They are using the Augmented Dickey-Fuller Test to see the value of the test statistic, whether it is lower than the critical value or not. Also, by looking at the p-value, whether the value is smaller than 0.05 so that the time series data can be said to be stationary; otherwise, the data is non-stationary. Based on the time series plot and decomposed data, it is concluded that the data is non-stationary. This is evidenced by the ADF test value, namely the p-value, with a value of 0.4567. The results' data plot and ADF value before differencing can be seen in Fig 9 and </w:t>
      </w:r>
      <w:r w:rsidR="00956CF1">
        <w:t xml:space="preserve">Fig </w:t>
      </w:r>
      <w:r w:rsidR="008E3A34" w:rsidRPr="008E3A34">
        <w:t>10.</w:t>
      </w:r>
      <w:r w:rsidR="00696042" w:rsidRPr="00696042">
        <w:rPr>
          <w:noProof/>
        </w:rPr>
        <w:t xml:space="preserve"> </w:t>
      </w:r>
    </w:p>
    <w:p w14:paraId="672863F1" w14:textId="77777777" w:rsidR="00B82D8A" w:rsidRDefault="00000000" w:rsidP="0059257F">
      <w:pPr>
        <w:spacing w:after="120"/>
        <w:ind w:left="142"/>
        <w:jc w:val="left"/>
      </w:pPr>
      <w:r>
        <w:rPr>
          <w:noProof/>
        </w:rPr>
        <w:drawing>
          <wp:inline distT="0" distB="0" distL="0" distR="0" wp14:anchorId="110367EA" wp14:editId="589C25AA">
            <wp:extent cx="3049270" cy="2051050"/>
            <wp:effectExtent l="19050" t="19050" r="17780" b="25400"/>
            <wp:docPr id="78267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70347" name=""/>
                    <pic:cNvPicPr/>
                  </pic:nvPicPr>
                  <pic:blipFill>
                    <a:blip r:embed="rId18"/>
                    <a:stretch>
                      <a:fillRect/>
                    </a:stretch>
                  </pic:blipFill>
                  <pic:spPr>
                    <a:xfrm>
                      <a:off x="0" y="0"/>
                      <a:ext cx="3083565" cy="2074118"/>
                    </a:xfrm>
                    <a:prstGeom prst="rect">
                      <a:avLst/>
                    </a:prstGeom>
                    <a:ln w="3175">
                      <a:solidFill>
                        <a:schemeClr val="tx1"/>
                      </a:solidFill>
                    </a:ln>
                  </pic:spPr>
                </pic:pic>
              </a:graphicData>
            </a:graphic>
          </wp:inline>
        </w:drawing>
      </w:r>
    </w:p>
    <w:p w14:paraId="138EF104" w14:textId="77777777" w:rsidR="00B82D8A" w:rsidRPr="00225282" w:rsidRDefault="00000000" w:rsidP="00A31E59">
      <w:pPr>
        <w:spacing w:after="120" w:line="228" w:lineRule="auto"/>
        <w:ind w:left="142"/>
        <w:rPr>
          <w:iCs/>
          <w:sz w:val="16"/>
          <w:szCs w:val="16"/>
        </w:rPr>
      </w:pPr>
      <w:r>
        <w:rPr>
          <w:sz w:val="16"/>
          <w:szCs w:val="16"/>
          <w:lang w:val="en-GB"/>
        </w:rPr>
        <w:t>Fig</w:t>
      </w:r>
      <w:r w:rsidR="003706B3" w:rsidRPr="00225282">
        <w:rPr>
          <w:sz w:val="16"/>
          <w:szCs w:val="16"/>
          <w:lang w:val="en-GB"/>
        </w:rPr>
        <w:t xml:space="preserve"> </w:t>
      </w:r>
      <w:r w:rsidR="0059257F" w:rsidRPr="00225282">
        <w:rPr>
          <w:sz w:val="16"/>
          <w:szCs w:val="16"/>
          <w:lang w:val="en-GB"/>
        </w:rPr>
        <w:t>9</w:t>
      </w:r>
      <w:r w:rsidR="003706B3" w:rsidRPr="00225282">
        <w:rPr>
          <w:sz w:val="16"/>
          <w:szCs w:val="16"/>
          <w:lang w:val="en-GB"/>
        </w:rPr>
        <w:t xml:space="preserve">. </w:t>
      </w:r>
      <w:r w:rsidRPr="008E3A34">
        <w:rPr>
          <w:sz w:val="16"/>
          <w:szCs w:val="16"/>
        </w:rPr>
        <w:t>Plot of data before differencing</w:t>
      </w:r>
    </w:p>
    <w:p w14:paraId="6DC0DF79" w14:textId="77777777" w:rsidR="00294008" w:rsidRDefault="00000000" w:rsidP="0006646E">
      <w:pPr>
        <w:spacing w:after="80"/>
        <w:ind w:left="142"/>
      </w:pPr>
      <w:r>
        <w:rPr>
          <w:noProof/>
        </w:rPr>
        <w:drawing>
          <wp:inline distT="0" distB="0" distL="0" distR="0" wp14:anchorId="48B32BF4" wp14:editId="02DD992D">
            <wp:extent cx="2216150" cy="917270"/>
            <wp:effectExtent l="19050" t="19050" r="12700" b="16510"/>
            <wp:docPr id="2817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3551" name=""/>
                    <pic:cNvPicPr/>
                  </pic:nvPicPr>
                  <pic:blipFill>
                    <a:blip r:embed="rId19"/>
                    <a:stretch>
                      <a:fillRect/>
                    </a:stretch>
                  </pic:blipFill>
                  <pic:spPr>
                    <a:xfrm>
                      <a:off x="0" y="0"/>
                      <a:ext cx="2275221" cy="941720"/>
                    </a:xfrm>
                    <a:prstGeom prst="rect">
                      <a:avLst/>
                    </a:prstGeom>
                    <a:ln w="3175">
                      <a:solidFill>
                        <a:schemeClr val="tx1"/>
                      </a:solidFill>
                    </a:ln>
                  </pic:spPr>
                </pic:pic>
              </a:graphicData>
            </a:graphic>
          </wp:inline>
        </w:drawing>
      </w:r>
    </w:p>
    <w:p w14:paraId="1B4A0791" w14:textId="77777777" w:rsidR="00294008" w:rsidRPr="00225282" w:rsidRDefault="00000000" w:rsidP="00CE3578">
      <w:pPr>
        <w:pStyle w:val="IEEEParagraph"/>
        <w:spacing w:after="120"/>
        <w:ind w:firstLine="0"/>
        <w:jc w:val="center"/>
        <w:rPr>
          <w:i/>
          <w:sz w:val="16"/>
          <w:szCs w:val="16"/>
        </w:rPr>
      </w:pPr>
      <w:r>
        <w:rPr>
          <w:sz w:val="16"/>
          <w:szCs w:val="16"/>
        </w:rPr>
        <w:t>Fig</w:t>
      </w:r>
      <w:r w:rsidRPr="00225282">
        <w:rPr>
          <w:sz w:val="16"/>
          <w:szCs w:val="16"/>
        </w:rPr>
        <w:t xml:space="preserve"> </w:t>
      </w:r>
      <w:r w:rsidR="0059257F" w:rsidRPr="00225282">
        <w:rPr>
          <w:sz w:val="16"/>
          <w:szCs w:val="16"/>
        </w:rPr>
        <w:t>10.</w:t>
      </w:r>
      <w:r w:rsidRPr="00225282">
        <w:rPr>
          <w:sz w:val="16"/>
          <w:szCs w:val="16"/>
        </w:rPr>
        <w:t xml:space="preserve"> </w:t>
      </w:r>
      <w:r w:rsidRPr="008E3A34">
        <w:rPr>
          <w:sz w:val="16"/>
          <w:szCs w:val="16"/>
        </w:rPr>
        <w:t>ADF test results before differencing</w:t>
      </w:r>
    </w:p>
    <w:p w14:paraId="0210FAA7" w14:textId="77777777" w:rsidR="00696042" w:rsidRDefault="00000000" w:rsidP="00956CF1">
      <w:pPr>
        <w:tabs>
          <w:tab w:val="left" w:pos="288"/>
        </w:tabs>
        <w:spacing w:after="120" w:line="228" w:lineRule="auto"/>
        <w:ind w:left="142"/>
        <w:jc w:val="both"/>
      </w:pPr>
      <w:r>
        <w:tab/>
      </w:r>
      <w:r w:rsidR="008E3A34" w:rsidRPr="008E3A34">
        <w:t xml:space="preserve">The next stage of differencing is calculating the change or difference in observation values. In this study, differencing was carried out two times to make the data stationary. The plot of differencing results can be seen in Fig 11 and </w:t>
      </w:r>
      <w:r w:rsidR="0060728C">
        <w:t xml:space="preserve">Fig </w:t>
      </w:r>
      <w:r w:rsidR="008E3A34" w:rsidRPr="008E3A34">
        <w:t>12.</w:t>
      </w:r>
    </w:p>
    <w:p w14:paraId="606C9C40" w14:textId="77777777" w:rsidR="00B82D8A" w:rsidRDefault="00000000" w:rsidP="00A31E59">
      <w:pPr>
        <w:tabs>
          <w:tab w:val="left" w:pos="288"/>
        </w:tabs>
        <w:spacing w:after="120" w:line="228" w:lineRule="auto"/>
      </w:pPr>
      <w:r>
        <w:rPr>
          <w:noProof/>
        </w:rPr>
        <w:drawing>
          <wp:inline distT="0" distB="0" distL="0" distR="0" wp14:anchorId="4300DC6F" wp14:editId="1530D626">
            <wp:extent cx="3073400" cy="2119630"/>
            <wp:effectExtent l="19050" t="19050" r="12700" b="13970"/>
            <wp:docPr id="1919033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33802" name=""/>
                    <pic:cNvPicPr/>
                  </pic:nvPicPr>
                  <pic:blipFill>
                    <a:blip r:embed="rId20"/>
                    <a:stretch>
                      <a:fillRect/>
                    </a:stretch>
                  </pic:blipFill>
                  <pic:spPr>
                    <a:xfrm>
                      <a:off x="0" y="0"/>
                      <a:ext cx="3142314" cy="2167158"/>
                    </a:xfrm>
                    <a:prstGeom prst="rect">
                      <a:avLst/>
                    </a:prstGeom>
                    <a:ln w="3175">
                      <a:solidFill>
                        <a:schemeClr val="tx1"/>
                      </a:solidFill>
                    </a:ln>
                  </pic:spPr>
                </pic:pic>
              </a:graphicData>
            </a:graphic>
          </wp:inline>
        </w:drawing>
      </w:r>
    </w:p>
    <w:p w14:paraId="41B33D50" w14:textId="77777777" w:rsidR="00B82D8A" w:rsidRPr="00AA28D0" w:rsidRDefault="00000000" w:rsidP="00696042">
      <w:pPr>
        <w:tabs>
          <w:tab w:val="left" w:pos="288"/>
        </w:tabs>
        <w:spacing w:after="120" w:line="228" w:lineRule="auto"/>
        <w:rPr>
          <w:iCs/>
        </w:rPr>
      </w:pPr>
      <w:r>
        <w:rPr>
          <w:sz w:val="16"/>
          <w:szCs w:val="16"/>
          <w:lang w:val="en-GB"/>
        </w:rPr>
        <w:t>Fig</w:t>
      </w:r>
      <w:r w:rsidR="007D793E" w:rsidRPr="00225282">
        <w:rPr>
          <w:sz w:val="16"/>
          <w:szCs w:val="16"/>
          <w:lang w:val="en-GB"/>
        </w:rPr>
        <w:t xml:space="preserve"> </w:t>
      </w:r>
      <w:r w:rsidR="00A14A70" w:rsidRPr="00225282">
        <w:rPr>
          <w:sz w:val="16"/>
          <w:szCs w:val="16"/>
          <w:lang w:val="en-GB"/>
        </w:rPr>
        <w:t>11</w:t>
      </w:r>
      <w:r w:rsidR="007D793E" w:rsidRPr="00225282">
        <w:rPr>
          <w:sz w:val="16"/>
          <w:szCs w:val="16"/>
          <w:lang w:val="en-GB"/>
        </w:rPr>
        <w:t xml:space="preserve">. </w:t>
      </w:r>
      <w:r w:rsidRPr="008E3A34">
        <w:rPr>
          <w:sz w:val="16"/>
          <w:szCs w:val="16"/>
        </w:rPr>
        <w:t>Data plot after first differencing</w:t>
      </w:r>
    </w:p>
    <w:p w14:paraId="1443EC6C" w14:textId="77777777" w:rsidR="00AA28D0" w:rsidRDefault="00000000" w:rsidP="00696042">
      <w:pPr>
        <w:tabs>
          <w:tab w:val="left" w:pos="288"/>
        </w:tabs>
        <w:spacing w:after="120" w:line="228" w:lineRule="auto"/>
        <w:rPr>
          <w:i/>
        </w:rPr>
      </w:pPr>
      <w:r>
        <w:rPr>
          <w:noProof/>
        </w:rPr>
        <w:drawing>
          <wp:inline distT="0" distB="0" distL="0" distR="0" wp14:anchorId="34DA20FF" wp14:editId="2F309594">
            <wp:extent cx="3056255" cy="1873177"/>
            <wp:effectExtent l="19050" t="19050" r="10795" b="13335"/>
            <wp:docPr id="133024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40922" name=""/>
                    <pic:cNvPicPr/>
                  </pic:nvPicPr>
                  <pic:blipFill>
                    <a:blip r:embed="rId21"/>
                    <a:stretch>
                      <a:fillRect/>
                    </a:stretch>
                  </pic:blipFill>
                  <pic:spPr>
                    <a:xfrm>
                      <a:off x="0" y="0"/>
                      <a:ext cx="3116506" cy="1910105"/>
                    </a:xfrm>
                    <a:prstGeom prst="rect">
                      <a:avLst/>
                    </a:prstGeom>
                    <a:ln w="3175">
                      <a:solidFill>
                        <a:schemeClr val="tx1"/>
                      </a:solidFill>
                    </a:ln>
                  </pic:spPr>
                </pic:pic>
              </a:graphicData>
            </a:graphic>
          </wp:inline>
        </w:drawing>
      </w:r>
    </w:p>
    <w:p w14:paraId="0CD1B438" w14:textId="77777777" w:rsidR="00AA28D0" w:rsidRDefault="00000000" w:rsidP="00696042">
      <w:pPr>
        <w:tabs>
          <w:tab w:val="left" w:pos="288"/>
        </w:tabs>
        <w:spacing w:after="120" w:line="228" w:lineRule="auto"/>
        <w:rPr>
          <w:iCs/>
        </w:rPr>
      </w:pPr>
      <w:r>
        <w:rPr>
          <w:sz w:val="16"/>
          <w:szCs w:val="16"/>
          <w:lang w:val="en-GB"/>
        </w:rPr>
        <w:t>Fig</w:t>
      </w:r>
      <w:r w:rsidRPr="00225282">
        <w:rPr>
          <w:sz w:val="16"/>
          <w:szCs w:val="16"/>
          <w:lang w:val="en-GB"/>
        </w:rPr>
        <w:t xml:space="preserve"> </w:t>
      </w:r>
      <w:r w:rsidR="00A14A70" w:rsidRPr="00225282">
        <w:rPr>
          <w:sz w:val="16"/>
          <w:szCs w:val="16"/>
          <w:lang w:val="en-GB"/>
        </w:rPr>
        <w:t>1</w:t>
      </w:r>
      <w:r w:rsidRPr="00225282">
        <w:rPr>
          <w:sz w:val="16"/>
          <w:szCs w:val="16"/>
          <w:lang w:val="en-GB"/>
        </w:rPr>
        <w:t xml:space="preserve">2. </w:t>
      </w:r>
      <w:r w:rsidRPr="008E3A34">
        <w:rPr>
          <w:sz w:val="16"/>
          <w:szCs w:val="16"/>
        </w:rPr>
        <w:t>Data plot after second differencing</w:t>
      </w:r>
    </w:p>
    <w:p w14:paraId="63FB78AC" w14:textId="77777777" w:rsidR="00A14A70" w:rsidRPr="00AA28D0" w:rsidRDefault="00000000" w:rsidP="00956CF1">
      <w:pPr>
        <w:spacing w:after="120" w:line="228" w:lineRule="auto"/>
        <w:ind w:left="142" w:firstLine="142"/>
        <w:jc w:val="both"/>
        <w:rPr>
          <w:iCs/>
        </w:rPr>
      </w:pPr>
      <w:r w:rsidRPr="00956CF1">
        <w:t>The ADF test value after differencing is the p-value with a value of 0.046. Based on these results, it can be concluded that the hotspot data shows stationary data.</w:t>
      </w:r>
    </w:p>
    <w:p w14:paraId="41513E65" w14:textId="77777777" w:rsidR="007D793E" w:rsidRDefault="00000000" w:rsidP="00696042">
      <w:pPr>
        <w:tabs>
          <w:tab w:val="left" w:pos="288"/>
        </w:tabs>
        <w:spacing w:after="120" w:line="228" w:lineRule="auto"/>
        <w:rPr>
          <w:i/>
        </w:rPr>
      </w:pPr>
      <w:r>
        <w:rPr>
          <w:noProof/>
        </w:rPr>
        <w:drawing>
          <wp:inline distT="0" distB="0" distL="0" distR="0" wp14:anchorId="75E7186B" wp14:editId="3DA0AFEA">
            <wp:extent cx="2086016" cy="863637"/>
            <wp:effectExtent l="19050" t="19050" r="9525" b="12700"/>
            <wp:docPr id="2114676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76060" name=""/>
                    <pic:cNvPicPr/>
                  </pic:nvPicPr>
                  <pic:blipFill>
                    <a:blip r:embed="rId22"/>
                    <a:stretch>
                      <a:fillRect/>
                    </a:stretch>
                  </pic:blipFill>
                  <pic:spPr>
                    <a:xfrm>
                      <a:off x="0" y="0"/>
                      <a:ext cx="2103804" cy="871001"/>
                    </a:xfrm>
                    <a:prstGeom prst="rect">
                      <a:avLst/>
                    </a:prstGeom>
                    <a:ln w="3175">
                      <a:solidFill>
                        <a:schemeClr val="tx1"/>
                      </a:solidFill>
                    </a:ln>
                  </pic:spPr>
                </pic:pic>
              </a:graphicData>
            </a:graphic>
          </wp:inline>
        </w:drawing>
      </w:r>
    </w:p>
    <w:p w14:paraId="64D36F59" w14:textId="77777777" w:rsidR="007D793E" w:rsidRDefault="00000000" w:rsidP="00696042">
      <w:pPr>
        <w:pStyle w:val="IEEEParagraph"/>
        <w:spacing w:after="120"/>
        <w:ind w:firstLine="0"/>
        <w:jc w:val="center"/>
        <w:rPr>
          <w:i/>
        </w:rPr>
      </w:pPr>
      <w:r>
        <w:rPr>
          <w:sz w:val="16"/>
          <w:szCs w:val="20"/>
        </w:rPr>
        <w:t xml:space="preserve">Fig </w:t>
      </w:r>
      <w:r w:rsidR="006B4EF8" w:rsidRPr="00225282">
        <w:rPr>
          <w:sz w:val="16"/>
          <w:szCs w:val="20"/>
        </w:rPr>
        <w:t>13</w:t>
      </w:r>
      <w:r>
        <w:rPr>
          <w:sz w:val="16"/>
          <w:szCs w:val="20"/>
        </w:rPr>
        <w:t>.</w:t>
      </w:r>
      <w:r w:rsidRPr="00225282">
        <w:rPr>
          <w:sz w:val="16"/>
          <w:szCs w:val="20"/>
        </w:rPr>
        <w:t xml:space="preserve"> </w:t>
      </w:r>
      <w:r w:rsidRPr="00956CF1">
        <w:rPr>
          <w:sz w:val="16"/>
          <w:szCs w:val="20"/>
        </w:rPr>
        <w:t>ADF test results after differencing</w:t>
      </w:r>
    </w:p>
    <w:p w14:paraId="1E638E30" w14:textId="77777777" w:rsidR="00D6247C" w:rsidRPr="003706B3" w:rsidRDefault="00000000" w:rsidP="00956CF1">
      <w:pPr>
        <w:pStyle w:val="Heading3"/>
        <w:numPr>
          <w:ilvl w:val="0"/>
          <w:numId w:val="17"/>
        </w:numPr>
        <w:ind w:left="426" w:hanging="284"/>
        <w:rPr>
          <w:iCs/>
        </w:rPr>
      </w:pPr>
      <w:r w:rsidRPr="00D6247C">
        <w:t>Autocorrelation Function</w:t>
      </w:r>
      <w:r>
        <w:t xml:space="preserve"> </w:t>
      </w:r>
      <w:r w:rsidRPr="00D6247C">
        <w:rPr>
          <w:i w:val="0"/>
          <w:iCs/>
        </w:rPr>
        <w:t>(ACF)</w:t>
      </w:r>
      <w:r>
        <w:t xml:space="preserve"> and </w:t>
      </w:r>
      <w:r w:rsidRPr="00D6247C">
        <w:t>Partial Autocorrelation Function</w:t>
      </w:r>
      <w:r>
        <w:t xml:space="preserve"> </w:t>
      </w:r>
      <w:r w:rsidRPr="00D6247C">
        <w:rPr>
          <w:i w:val="0"/>
          <w:iCs/>
        </w:rPr>
        <w:t>(PACF)</w:t>
      </w:r>
    </w:p>
    <w:p w14:paraId="6C528DA5" w14:textId="77777777" w:rsidR="00D6247C" w:rsidRDefault="00000000" w:rsidP="00956CF1">
      <w:pPr>
        <w:ind w:left="142" w:firstLine="294"/>
        <w:jc w:val="both"/>
      </w:pPr>
      <w:r w:rsidRPr="00956CF1">
        <w:t>ACF and PACF plots after the data is stationary, and the next step is to identify seasonally patterned data by specifying the ACF plot and PACF plot to determine the order of the model used.</w:t>
      </w:r>
    </w:p>
    <w:p w14:paraId="3610D459" w14:textId="77777777" w:rsidR="006549F3" w:rsidRDefault="00000000" w:rsidP="006549F3">
      <w:pPr>
        <w:pStyle w:val="ListParagraph"/>
        <w:numPr>
          <w:ilvl w:val="0"/>
          <w:numId w:val="20"/>
        </w:numPr>
        <w:ind w:left="709" w:hanging="283"/>
        <w:jc w:val="both"/>
      </w:pPr>
      <w:r w:rsidRPr="00924939">
        <w:rPr>
          <w:i/>
          <w:iCs/>
        </w:rPr>
        <w:t>Autocorrelation Function</w:t>
      </w:r>
      <w:r>
        <w:t xml:space="preserve"> </w:t>
      </w:r>
      <w:r w:rsidRPr="00924939">
        <w:t>(ACF)</w:t>
      </w:r>
    </w:p>
    <w:p w14:paraId="3EAF3944" w14:textId="77777777" w:rsidR="00696042" w:rsidRDefault="00000000" w:rsidP="00403F47">
      <w:pPr>
        <w:spacing w:after="120"/>
        <w:ind w:left="425" w:firstLine="295"/>
        <w:jc w:val="both"/>
      </w:pPr>
      <w:r w:rsidRPr="00956CF1">
        <w:t>The ACF plot is used to identify the order of the Moving Average (MA) model. This study aims to see the stationarity of the data in the mean. In Fig 14, it can be seen that lags 1, 2, 3, 11, 12 and 13 pass through the confidence interval. These results explain that there is still autocorrelation, and the data is not stationary in the mean. In Fig 15, it can be seen that the lags are already relatively in the confidence interval, so the data is more stationary compared to the previous ACF plot.</w:t>
      </w:r>
    </w:p>
    <w:p w14:paraId="6334C4DC" w14:textId="77777777" w:rsidR="00696042" w:rsidRDefault="00000000" w:rsidP="00696042">
      <w:pPr>
        <w:spacing w:after="120"/>
        <w:ind w:left="425"/>
        <w:jc w:val="both"/>
      </w:pPr>
      <w:r>
        <w:rPr>
          <w:noProof/>
        </w:rPr>
        <w:drawing>
          <wp:inline distT="0" distB="0" distL="0" distR="0" wp14:anchorId="58898557" wp14:editId="2ECD3293">
            <wp:extent cx="2906210" cy="1758300"/>
            <wp:effectExtent l="19050" t="19050" r="27940" b="13970"/>
            <wp:docPr id="193501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9850" name=""/>
                    <pic:cNvPicPr/>
                  </pic:nvPicPr>
                  <pic:blipFill>
                    <a:blip r:embed="rId23"/>
                    <a:stretch>
                      <a:fillRect/>
                    </a:stretch>
                  </pic:blipFill>
                  <pic:spPr>
                    <a:xfrm>
                      <a:off x="0" y="0"/>
                      <a:ext cx="2940896" cy="1779285"/>
                    </a:xfrm>
                    <a:prstGeom prst="rect">
                      <a:avLst/>
                    </a:prstGeom>
                    <a:ln w="3175">
                      <a:solidFill>
                        <a:schemeClr val="tx1"/>
                      </a:solidFill>
                    </a:ln>
                  </pic:spPr>
                </pic:pic>
              </a:graphicData>
            </a:graphic>
          </wp:inline>
        </w:drawing>
      </w:r>
    </w:p>
    <w:p w14:paraId="7A711FFC" w14:textId="77777777" w:rsidR="00696042" w:rsidRDefault="00000000" w:rsidP="00696042">
      <w:pPr>
        <w:spacing w:after="120"/>
        <w:ind w:firstLine="425"/>
        <w:rPr>
          <w:i/>
        </w:rPr>
      </w:pPr>
      <w:r>
        <w:rPr>
          <w:sz w:val="16"/>
          <w:szCs w:val="16"/>
        </w:rPr>
        <w:t xml:space="preserve">Fig </w:t>
      </w:r>
      <w:r w:rsidR="00D6247C" w:rsidRPr="00225282">
        <w:rPr>
          <w:sz w:val="16"/>
          <w:szCs w:val="16"/>
        </w:rPr>
        <w:t>1</w:t>
      </w:r>
      <w:r w:rsidR="006B4EF8" w:rsidRPr="00225282">
        <w:rPr>
          <w:sz w:val="16"/>
          <w:szCs w:val="16"/>
        </w:rPr>
        <w:t>4</w:t>
      </w:r>
      <w:r>
        <w:rPr>
          <w:sz w:val="16"/>
          <w:szCs w:val="16"/>
        </w:rPr>
        <w:t>.</w:t>
      </w:r>
      <w:r w:rsidR="00D6247C" w:rsidRPr="00225282">
        <w:rPr>
          <w:sz w:val="16"/>
          <w:szCs w:val="16"/>
        </w:rPr>
        <w:t xml:space="preserve"> </w:t>
      </w:r>
      <w:r w:rsidRPr="00956CF1">
        <w:rPr>
          <w:sz w:val="16"/>
          <w:szCs w:val="16"/>
        </w:rPr>
        <w:t>ACF plot results before differencing</w:t>
      </w:r>
    </w:p>
    <w:p w14:paraId="60E4EE3F" w14:textId="77777777" w:rsidR="00D6247C" w:rsidRDefault="00000000" w:rsidP="00696042">
      <w:pPr>
        <w:spacing w:after="120"/>
        <w:ind w:firstLine="425"/>
        <w:rPr>
          <w:i/>
        </w:rPr>
      </w:pPr>
      <w:r>
        <w:rPr>
          <w:noProof/>
        </w:rPr>
        <w:lastRenderedPageBreak/>
        <w:drawing>
          <wp:inline distT="0" distB="0" distL="0" distR="0" wp14:anchorId="1119EE52" wp14:editId="2AD88D1E">
            <wp:extent cx="2925300" cy="1645898"/>
            <wp:effectExtent l="19050" t="19050" r="27940" b="12065"/>
            <wp:docPr id="16319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6149" name=""/>
                    <pic:cNvPicPr/>
                  </pic:nvPicPr>
                  <pic:blipFill>
                    <a:blip r:embed="rId24"/>
                    <a:stretch>
                      <a:fillRect/>
                    </a:stretch>
                  </pic:blipFill>
                  <pic:spPr>
                    <a:xfrm>
                      <a:off x="0" y="0"/>
                      <a:ext cx="2955855" cy="1663089"/>
                    </a:xfrm>
                    <a:prstGeom prst="rect">
                      <a:avLst/>
                    </a:prstGeom>
                    <a:ln w="3175">
                      <a:solidFill>
                        <a:schemeClr val="tx1"/>
                      </a:solidFill>
                    </a:ln>
                  </pic:spPr>
                </pic:pic>
              </a:graphicData>
            </a:graphic>
          </wp:inline>
        </w:drawing>
      </w:r>
    </w:p>
    <w:p w14:paraId="4994CFB6" w14:textId="77777777" w:rsidR="00B82D8A" w:rsidRDefault="00000000" w:rsidP="00D6247C">
      <w:pPr>
        <w:spacing w:after="120" w:line="228" w:lineRule="auto"/>
        <w:ind w:left="284"/>
      </w:pPr>
      <w:r>
        <w:rPr>
          <w:sz w:val="16"/>
          <w:szCs w:val="16"/>
        </w:rPr>
        <w:t xml:space="preserve">Fig </w:t>
      </w:r>
      <w:r w:rsidR="00D6247C" w:rsidRPr="00225282">
        <w:rPr>
          <w:sz w:val="16"/>
          <w:szCs w:val="16"/>
        </w:rPr>
        <w:t>1</w:t>
      </w:r>
      <w:r w:rsidR="006B4EF8" w:rsidRPr="00225282">
        <w:rPr>
          <w:sz w:val="16"/>
          <w:szCs w:val="16"/>
        </w:rPr>
        <w:t>5</w:t>
      </w:r>
      <w:r>
        <w:rPr>
          <w:sz w:val="16"/>
          <w:szCs w:val="16"/>
        </w:rPr>
        <w:t>.</w:t>
      </w:r>
      <w:r w:rsidR="00D6247C" w:rsidRPr="00225282">
        <w:rPr>
          <w:sz w:val="16"/>
          <w:szCs w:val="16"/>
        </w:rPr>
        <w:t xml:space="preserve"> </w:t>
      </w:r>
      <w:r w:rsidR="0060728C" w:rsidRPr="0060728C">
        <w:rPr>
          <w:sz w:val="16"/>
          <w:szCs w:val="16"/>
        </w:rPr>
        <w:t>ACF plot results after differencing</w:t>
      </w:r>
    </w:p>
    <w:p w14:paraId="6CF15760" w14:textId="77777777" w:rsidR="00924939" w:rsidRPr="00924939" w:rsidRDefault="00000000" w:rsidP="00924939">
      <w:pPr>
        <w:pStyle w:val="ListParagraph"/>
        <w:numPr>
          <w:ilvl w:val="0"/>
          <w:numId w:val="20"/>
        </w:numPr>
        <w:ind w:left="709" w:hanging="283"/>
        <w:jc w:val="both"/>
        <w:rPr>
          <w:i/>
          <w:iCs/>
        </w:rPr>
      </w:pPr>
      <w:r w:rsidRPr="00924939">
        <w:rPr>
          <w:i/>
          <w:iCs/>
        </w:rPr>
        <w:t xml:space="preserve">Partial Autocorrelation Function </w:t>
      </w:r>
      <w:r w:rsidRPr="00924939">
        <w:t>(PACF)</w:t>
      </w:r>
    </w:p>
    <w:p w14:paraId="01B1EB0D" w14:textId="77777777" w:rsidR="00B63EFD" w:rsidRPr="00403F47" w:rsidRDefault="00000000" w:rsidP="00696042">
      <w:pPr>
        <w:tabs>
          <w:tab w:val="left" w:pos="288"/>
        </w:tabs>
        <w:spacing w:after="120" w:line="228" w:lineRule="auto"/>
        <w:ind w:left="425"/>
        <w:jc w:val="both"/>
      </w:pPr>
      <w:r>
        <w:tab/>
      </w:r>
      <w:r w:rsidR="0054261E" w:rsidRPr="0054261E">
        <w:t>The PACF plot is used to identify the Autoregressive (AR) model. In Fig 16, it can be seen that lags 1, 2 and 14 cross the confidence interval. These results explain that there is still autocorrelation, and the data is not stationary in the mean. In Fig. 17, it can be seen that the lags are already relatively in the confidence interval, so the data is more stationary compared to the previous PACF plot.</w:t>
      </w:r>
    </w:p>
    <w:p w14:paraId="2192F7DD" w14:textId="77777777" w:rsidR="00B82D8A" w:rsidRDefault="00000000" w:rsidP="00696042">
      <w:pPr>
        <w:tabs>
          <w:tab w:val="left" w:pos="288"/>
        </w:tabs>
        <w:spacing w:after="120" w:line="228" w:lineRule="auto"/>
        <w:ind w:left="425"/>
        <w:jc w:val="both"/>
      </w:pPr>
      <w:r>
        <w:rPr>
          <w:noProof/>
        </w:rPr>
        <w:drawing>
          <wp:inline distT="0" distB="0" distL="0" distR="0" wp14:anchorId="50AA7CC2" wp14:editId="322240F0">
            <wp:extent cx="2908300" cy="1501775"/>
            <wp:effectExtent l="19050" t="19050" r="25400" b="22225"/>
            <wp:docPr id="1634670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70399" name=""/>
                    <pic:cNvPicPr/>
                  </pic:nvPicPr>
                  <pic:blipFill>
                    <a:blip r:embed="rId25"/>
                    <a:stretch>
                      <a:fillRect/>
                    </a:stretch>
                  </pic:blipFill>
                  <pic:spPr>
                    <a:xfrm>
                      <a:off x="0" y="0"/>
                      <a:ext cx="2917594" cy="1506574"/>
                    </a:xfrm>
                    <a:prstGeom prst="rect">
                      <a:avLst/>
                    </a:prstGeom>
                    <a:ln w="3175">
                      <a:solidFill>
                        <a:schemeClr val="tx1"/>
                      </a:solidFill>
                    </a:ln>
                  </pic:spPr>
                </pic:pic>
              </a:graphicData>
            </a:graphic>
          </wp:inline>
        </w:drawing>
      </w:r>
    </w:p>
    <w:p w14:paraId="1E3B9E39" w14:textId="77777777" w:rsidR="00FE395E" w:rsidRDefault="00000000" w:rsidP="00FE395E">
      <w:pPr>
        <w:tabs>
          <w:tab w:val="left" w:pos="288"/>
        </w:tabs>
        <w:spacing w:after="120" w:line="228" w:lineRule="auto"/>
        <w:ind w:left="284"/>
        <w:rPr>
          <w:noProof/>
        </w:rPr>
      </w:pPr>
      <w:r w:rsidRPr="0054261E">
        <w:rPr>
          <w:sz w:val="16"/>
          <w:szCs w:val="16"/>
        </w:rPr>
        <w:t>Fig</w:t>
      </w:r>
      <w:r>
        <w:rPr>
          <w:sz w:val="16"/>
          <w:szCs w:val="16"/>
        </w:rPr>
        <w:t xml:space="preserve"> </w:t>
      </w:r>
      <w:r w:rsidRPr="0054261E">
        <w:rPr>
          <w:sz w:val="16"/>
          <w:szCs w:val="16"/>
        </w:rPr>
        <w:t>16</w:t>
      </w:r>
      <w:r>
        <w:rPr>
          <w:sz w:val="16"/>
          <w:szCs w:val="16"/>
        </w:rPr>
        <w:t>.</w:t>
      </w:r>
      <w:r w:rsidRPr="0054261E">
        <w:rPr>
          <w:sz w:val="16"/>
          <w:szCs w:val="16"/>
        </w:rPr>
        <w:t xml:space="preserve"> PACF plot results before differencing</w:t>
      </w:r>
      <w:r>
        <w:rPr>
          <w:noProof/>
        </w:rPr>
        <w:t xml:space="preserve"> </w:t>
      </w:r>
    </w:p>
    <w:p w14:paraId="7031BF61" w14:textId="77777777" w:rsidR="00696042" w:rsidRDefault="00000000" w:rsidP="00403F47">
      <w:pPr>
        <w:spacing w:after="120" w:line="228" w:lineRule="auto"/>
        <w:ind w:left="426"/>
        <w:jc w:val="both"/>
        <w:rPr>
          <w:noProof/>
        </w:rPr>
      </w:pPr>
      <w:r>
        <w:rPr>
          <w:noProof/>
        </w:rPr>
        <w:drawing>
          <wp:inline distT="0" distB="0" distL="0" distR="0" wp14:anchorId="6958B1E1" wp14:editId="50715CCA">
            <wp:extent cx="2906853" cy="1587500"/>
            <wp:effectExtent l="19050" t="19050" r="27305" b="12700"/>
            <wp:docPr id="809594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94049" name=""/>
                    <pic:cNvPicPr/>
                  </pic:nvPicPr>
                  <pic:blipFill>
                    <a:blip r:embed="rId26"/>
                    <a:stretch>
                      <a:fillRect/>
                    </a:stretch>
                  </pic:blipFill>
                  <pic:spPr>
                    <a:xfrm>
                      <a:off x="0" y="0"/>
                      <a:ext cx="2926606" cy="1598288"/>
                    </a:xfrm>
                    <a:prstGeom prst="rect">
                      <a:avLst/>
                    </a:prstGeom>
                    <a:ln w="3175">
                      <a:solidFill>
                        <a:schemeClr val="tx1"/>
                      </a:solidFill>
                    </a:ln>
                  </pic:spPr>
                </pic:pic>
              </a:graphicData>
            </a:graphic>
          </wp:inline>
        </w:drawing>
      </w:r>
    </w:p>
    <w:p w14:paraId="3F87E1CD" w14:textId="77777777" w:rsidR="00FE395E" w:rsidRDefault="00000000" w:rsidP="00BA4B73">
      <w:pPr>
        <w:spacing w:after="120" w:line="228" w:lineRule="auto"/>
        <w:ind w:left="426"/>
      </w:pPr>
      <w:r>
        <w:rPr>
          <w:sz w:val="16"/>
          <w:szCs w:val="16"/>
        </w:rPr>
        <w:t xml:space="preserve">Fig </w:t>
      </w:r>
      <w:r w:rsidRPr="00225282">
        <w:rPr>
          <w:sz w:val="16"/>
          <w:szCs w:val="16"/>
        </w:rPr>
        <w:t>1</w:t>
      </w:r>
      <w:r w:rsidR="00403F47" w:rsidRPr="00225282">
        <w:rPr>
          <w:sz w:val="16"/>
          <w:szCs w:val="16"/>
        </w:rPr>
        <w:t>7</w:t>
      </w:r>
      <w:r>
        <w:rPr>
          <w:sz w:val="16"/>
          <w:szCs w:val="16"/>
        </w:rPr>
        <w:t>.</w:t>
      </w:r>
      <w:r w:rsidRPr="00225282">
        <w:rPr>
          <w:sz w:val="16"/>
          <w:szCs w:val="16"/>
        </w:rPr>
        <w:t xml:space="preserve"> </w:t>
      </w:r>
      <w:r w:rsidRPr="0054261E">
        <w:rPr>
          <w:sz w:val="16"/>
          <w:szCs w:val="16"/>
        </w:rPr>
        <w:t>PACF plot results after differencing</w:t>
      </w:r>
    </w:p>
    <w:p w14:paraId="5AEE4F29" w14:textId="77777777" w:rsidR="000D243E" w:rsidRDefault="00000000" w:rsidP="000D243E">
      <w:pPr>
        <w:pStyle w:val="Heading2"/>
        <w:numPr>
          <w:ilvl w:val="1"/>
          <w:numId w:val="12"/>
        </w:numPr>
      </w:pPr>
      <w:r>
        <w:t xml:space="preserve">Estimasi </w:t>
      </w:r>
      <w:r w:rsidRPr="00832D9C">
        <w:rPr>
          <w:iCs/>
        </w:rPr>
        <w:t>Parameter Model</w:t>
      </w:r>
    </w:p>
    <w:p w14:paraId="035FC1FF" w14:textId="77777777" w:rsidR="000D243E" w:rsidRDefault="00000000" w:rsidP="00C05AFE">
      <w:pPr>
        <w:spacing w:after="120"/>
        <w:ind w:firstLine="289"/>
        <w:jc w:val="both"/>
      </w:pPr>
      <w:r w:rsidRPr="0054261E">
        <w:t>At this stage, MA, AR, seasonal, and non-seasonal parameters are estimated, and the significance of each parameter is tested. If there is a model whose parameters are not significant, it is declared not to pass the test. For determining model parameters for either ARIMA or SARIMA, the information criteria commonly used in selecting ARIMA models are the Akaike Information Criterion (AIC) and the Bayesian Information Criterion (BIC). Parameter estimates for ARIMA and SARIMA are as follows.</w:t>
      </w:r>
    </w:p>
    <w:p w14:paraId="0BA20EE9" w14:textId="77777777" w:rsidR="00C05AFE" w:rsidRDefault="00000000" w:rsidP="00C05AFE">
      <w:pPr>
        <w:spacing w:after="120"/>
        <w:ind w:firstLine="289"/>
        <w:jc w:val="both"/>
        <w:rPr>
          <w:noProof/>
        </w:rPr>
      </w:pPr>
      <w:r w:rsidRPr="0054261E">
        <w:t>The ARIMA model significance test results can be seen in Fig. 18 shows that there is only one significant ARIMA model, namely the ARIMA (0, 1, 1) model.</w:t>
      </w:r>
      <w:r w:rsidRPr="00C05AFE">
        <w:rPr>
          <w:noProof/>
        </w:rPr>
        <w:t xml:space="preserve"> </w:t>
      </w:r>
    </w:p>
    <w:p w14:paraId="6322A7C1" w14:textId="77777777" w:rsidR="005C026B" w:rsidRDefault="00000000" w:rsidP="00C05AFE">
      <w:pPr>
        <w:spacing w:after="120"/>
        <w:jc w:val="both"/>
      </w:pPr>
      <w:r>
        <w:rPr>
          <w:noProof/>
        </w:rPr>
        <w:drawing>
          <wp:inline distT="0" distB="0" distL="0" distR="0" wp14:anchorId="2A6CC5AE" wp14:editId="24037D5E">
            <wp:extent cx="3166399" cy="1452792"/>
            <wp:effectExtent l="19050" t="19050" r="15240" b="14605"/>
            <wp:docPr id="12843148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14897"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23441" cy="1478964"/>
                    </a:xfrm>
                    <a:prstGeom prst="rect">
                      <a:avLst/>
                    </a:prstGeom>
                    <a:solidFill>
                      <a:srgbClr val="000000"/>
                    </a:solidFill>
                    <a:ln w="3175">
                      <a:solidFill>
                        <a:srgbClr val="000000"/>
                      </a:solidFill>
                      <a:miter lim="800000"/>
                      <a:headEnd/>
                      <a:tailEnd/>
                    </a:ln>
                  </pic:spPr>
                </pic:pic>
              </a:graphicData>
            </a:graphic>
          </wp:inline>
        </w:drawing>
      </w:r>
    </w:p>
    <w:p w14:paraId="438A9046" w14:textId="77777777" w:rsidR="000D243E" w:rsidRDefault="00000000" w:rsidP="00C05AFE">
      <w:pPr>
        <w:spacing w:after="120"/>
      </w:pPr>
      <w:r>
        <w:rPr>
          <w:sz w:val="16"/>
          <w:szCs w:val="16"/>
        </w:rPr>
        <w:t xml:space="preserve">Fig </w:t>
      </w:r>
      <w:r w:rsidR="006614E6" w:rsidRPr="00225282">
        <w:rPr>
          <w:sz w:val="16"/>
          <w:szCs w:val="16"/>
        </w:rPr>
        <w:t>1</w:t>
      </w:r>
      <w:r w:rsidR="001D03D0" w:rsidRPr="00225282">
        <w:rPr>
          <w:sz w:val="16"/>
          <w:szCs w:val="16"/>
        </w:rPr>
        <w:t>8</w:t>
      </w:r>
      <w:r>
        <w:rPr>
          <w:sz w:val="16"/>
          <w:szCs w:val="16"/>
        </w:rPr>
        <w:t>.</w:t>
      </w:r>
      <w:r w:rsidR="006614E6" w:rsidRPr="00225282">
        <w:rPr>
          <w:sz w:val="16"/>
          <w:szCs w:val="16"/>
        </w:rPr>
        <w:t xml:space="preserve"> </w:t>
      </w:r>
      <w:r w:rsidRPr="0054261E">
        <w:rPr>
          <w:sz w:val="16"/>
          <w:szCs w:val="16"/>
        </w:rPr>
        <w:t>Parameter Estimation of ARIMA Model</w:t>
      </w:r>
    </w:p>
    <w:p w14:paraId="35CD9C41" w14:textId="77777777" w:rsidR="006A58B2" w:rsidRDefault="00000000" w:rsidP="00C05AFE">
      <w:pPr>
        <w:tabs>
          <w:tab w:val="left" w:pos="288"/>
        </w:tabs>
        <w:spacing w:after="120" w:line="228" w:lineRule="auto"/>
        <w:jc w:val="both"/>
      </w:pPr>
      <w:r>
        <w:tab/>
      </w:r>
      <w:r w:rsidR="0054261E" w:rsidRPr="0054261E">
        <w:t>The significance test results in Figure 19 show only one significant SARIMA model, namely the SARIMA (0, 1, 1) (2, 2, 1, 12) model. Based on these results, it can be concluded that the best possible model of the ARIMA method is the ARIMA (0, 1, 1) model, while the best model of the SARIMA method is the SARIMA (0, 1, 1) model (2, 2, 1, 12).</w:t>
      </w:r>
    </w:p>
    <w:p w14:paraId="2BF046C0" w14:textId="77777777" w:rsidR="00C05AFE" w:rsidRDefault="00000000" w:rsidP="00281459">
      <w:pPr>
        <w:tabs>
          <w:tab w:val="left" w:pos="288"/>
        </w:tabs>
        <w:spacing w:after="120" w:line="228" w:lineRule="auto"/>
        <w:jc w:val="both"/>
      </w:pPr>
      <w:r>
        <w:rPr>
          <w:noProof/>
        </w:rPr>
        <w:drawing>
          <wp:inline distT="0" distB="0" distL="0" distR="0" wp14:anchorId="5763A874" wp14:editId="79FAC278">
            <wp:extent cx="3168015" cy="1457682"/>
            <wp:effectExtent l="19050" t="19050" r="13335" b="28575"/>
            <wp:docPr id="2393859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5912"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188451" cy="1467085"/>
                    </a:xfrm>
                    <a:prstGeom prst="rect">
                      <a:avLst/>
                    </a:prstGeom>
                    <a:noFill/>
                    <a:ln w="3175">
                      <a:solidFill>
                        <a:srgbClr val="000000"/>
                      </a:solidFill>
                      <a:miter lim="800000"/>
                      <a:headEnd/>
                      <a:tailEnd/>
                    </a:ln>
                  </pic:spPr>
                </pic:pic>
              </a:graphicData>
            </a:graphic>
          </wp:inline>
        </w:drawing>
      </w:r>
    </w:p>
    <w:p w14:paraId="3BD7051F" w14:textId="77777777" w:rsidR="006614E6" w:rsidRDefault="00000000" w:rsidP="00281459">
      <w:pPr>
        <w:tabs>
          <w:tab w:val="left" w:pos="288"/>
        </w:tabs>
        <w:spacing w:after="120" w:line="228" w:lineRule="auto"/>
      </w:pPr>
      <w:r>
        <w:rPr>
          <w:sz w:val="16"/>
          <w:szCs w:val="16"/>
        </w:rPr>
        <w:t xml:space="preserve">Fig </w:t>
      </w:r>
      <w:r w:rsidRPr="00225282">
        <w:rPr>
          <w:sz w:val="16"/>
          <w:szCs w:val="16"/>
        </w:rPr>
        <w:t>1</w:t>
      </w:r>
      <w:r w:rsidR="001D03D0" w:rsidRPr="00225282">
        <w:rPr>
          <w:sz w:val="16"/>
          <w:szCs w:val="16"/>
        </w:rPr>
        <w:t>9</w:t>
      </w:r>
      <w:r>
        <w:rPr>
          <w:sz w:val="16"/>
          <w:szCs w:val="16"/>
        </w:rPr>
        <w:t>.</w:t>
      </w:r>
      <w:r w:rsidRPr="00225282">
        <w:rPr>
          <w:sz w:val="16"/>
          <w:szCs w:val="16"/>
        </w:rPr>
        <w:t xml:space="preserve"> </w:t>
      </w:r>
      <w:r w:rsidRPr="0054261E">
        <w:rPr>
          <w:sz w:val="16"/>
          <w:szCs w:val="16"/>
        </w:rPr>
        <w:t>Parameter Estimation of SARIMA Model</w:t>
      </w:r>
    </w:p>
    <w:p w14:paraId="42EC5A24" w14:textId="77777777" w:rsidR="00A26D37" w:rsidRDefault="00000000" w:rsidP="00A26D37">
      <w:pPr>
        <w:pStyle w:val="Heading2"/>
        <w:numPr>
          <w:ilvl w:val="1"/>
          <w:numId w:val="12"/>
        </w:numPr>
      </w:pPr>
      <w:r w:rsidRPr="00CB51E7">
        <w:t>Diagnostic Checking</w:t>
      </w:r>
    </w:p>
    <w:p w14:paraId="004AF5CB" w14:textId="77777777" w:rsidR="002D1A4B" w:rsidRDefault="00000000" w:rsidP="003575E6">
      <w:pPr>
        <w:spacing w:after="120"/>
        <w:ind w:firstLine="289"/>
        <w:jc w:val="both"/>
      </w:pPr>
      <w:r w:rsidRPr="0054261E">
        <w:t>After the ARIMA and SARIMA models have their parameters estimated, the next stage is diagnostic checking to determine whether the model used is suitable and feasible for forecasting.</w:t>
      </w:r>
    </w:p>
    <w:p w14:paraId="56C410A3" w14:textId="77777777" w:rsidR="001D03D0" w:rsidRDefault="00000000" w:rsidP="003575E6">
      <w:pPr>
        <w:spacing w:after="120"/>
        <w:ind w:firstLine="289"/>
        <w:jc w:val="both"/>
      </w:pPr>
      <w:r w:rsidRPr="0054261E">
        <w:t>Fig</w:t>
      </w:r>
      <w:r>
        <w:t xml:space="preserve"> </w:t>
      </w:r>
      <w:r w:rsidRPr="0054261E">
        <w:t>20 is the result of diagnostic checking on the ARIMA model by looking at the residuals and density plots. A good ARIMA model is when there is no accumulation of residual plots. A good ARIMA model is also when the density graph is bell-shaped around the value of 0 on the X-axis.</w:t>
      </w:r>
    </w:p>
    <w:p w14:paraId="3ABF1748" w14:textId="77777777" w:rsidR="00281459" w:rsidRDefault="00000000" w:rsidP="00281459">
      <w:pPr>
        <w:spacing w:after="120"/>
      </w:pPr>
      <w:r>
        <w:rPr>
          <w:noProof/>
        </w:rPr>
        <w:drawing>
          <wp:inline distT="0" distB="0" distL="0" distR="0" wp14:anchorId="7C618CE4" wp14:editId="456710D9">
            <wp:extent cx="3146425" cy="1561329"/>
            <wp:effectExtent l="19050" t="19050" r="15875" b="20320"/>
            <wp:docPr id="21278713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71307"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153551" cy="1564865"/>
                    </a:xfrm>
                    <a:prstGeom prst="rect">
                      <a:avLst/>
                    </a:prstGeom>
                    <a:noFill/>
                    <a:ln w="3175">
                      <a:solidFill>
                        <a:srgbClr val="000000"/>
                      </a:solidFill>
                      <a:miter lim="800000"/>
                      <a:headEnd/>
                      <a:tailEnd/>
                    </a:ln>
                  </pic:spPr>
                </pic:pic>
              </a:graphicData>
            </a:graphic>
          </wp:inline>
        </w:drawing>
      </w:r>
    </w:p>
    <w:p w14:paraId="4FECF3C1" w14:textId="77777777" w:rsidR="00A26D37" w:rsidRDefault="00000000" w:rsidP="00281459">
      <w:pPr>
        <w:spacing w:after="120"/>
      </w:pPr>
      <w:r>
        <w:rPr>
          <w:sz w:val="16"/>
          <w:szCs w:val="16"/>
        </w:rPr>
        <w:t xml:space="preserve">Fig </w:t>
      </w:r>
      <w:r w:rsidR="002D1A4B" w:rsidRPr="00225282">
        <w:rPr>
          <w:sz w:val="16"/>
          <w:szCs w:val="16"/>
        </w:rPr>
        <w:t>20</w:t>
      </w:r>
      <w:r>
        <w:rPr>
          <w:sz w:val="16"/>
          <w:szCs w:val="16"/>
        </w:rPr>
        <w:t>.</w:t>
      </w:r>
      <w:r w:rsidRPr="00225282">
        <w:rPr>
          <w:sz w:val="16"/>
          <w:szCs w:val="16"/>
        </w:rPr>
        <w:t xml:space="preserve"> </w:t>
      </w:r>
      <w:r w:rsidRPr="0054261E">
        <w:rPr>
          <w:sz w:val="16"/>
          <w:szCs w:val="16"/>
        </w:rPr>
        <w:t>Diagnostic check results of the ARIMA model</w:t>
      </w:r>
    </w:p>
    <w:p w14:paraId="505021B5" w14:textId="77777777" w:rsidR="002D109D" w:rsidRPr="007E34E3" w:rsidRDefault="00000000" w:rsidP="00FC34B4">
      <w:pPr>
        <w:spacing w:after="120"/>
        <w:ind w:firstLine="284"/>
        <w:jc w:val="both"/>
      </w:pPr>
      <w:r w:rsidRPr="0054261E">
        <w:lastRenderedPageBreak/>
        <w:t>Diagnostic checking is also carried out on the SARIMA model. In Fig 21, the SARIMA model is checked by looking at four graphs. The standardized residual plot in this study explains the fluctuation of hotspot data around the average value of 0 (zero). The second plot is the histogram density, which shows the normal distribution of the hotspot data. Then, the correlation plot shows a normal linear distribution that follows a linear line. The last plot is the ACF plot, which shows that no lag passes through the confidence interval, so the data is stationary in the mean</w:t>
      </w:r>
      <w:r w:rsidR="00EB6DBE">
        <w:rPr>
          <w:i/>
          <w:iCs/>
        </w:rPr>
        <w:t>.</w:t>
      </w:r>
    </w:p>
    <w:p w14:paraId="2D29FA7E" w14:textId="77777777" w:rsidR="00281459" w:rsidRDefault="00000000" w:rsidP="00281459">
      <w:pPr>
        <w:spacing w:after="120"/>
      </w:pPr>
      <w:r>
        <w:rPr>
          <w:noProof/>
        </w:rPr>
        <w:drawing>
          <wp:inline distT="0" distB="0" distL="0" distR="0" wp14:anchorId="1DFE1ECA" wp14:editId="104D2114">
            <wp:extent cx="3062605" cy="1289050"/>
            <wp:effectExtent l="19050" t="19050" r="23495" b="25400"/>
            <wp:docPr id="21026253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25365"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097563" cy="1303764"/>
                    </a:xfrm>
                    <a:prstGeom prst="rect">
                      <a:avLst/>
                    </a:prstGeom>
                    <a:noFill/>
                    <a:ln w="3175">
                      <a:solidFill>
                        <a:srgbClr val="000000"/>
                      </a:solidFill>
                      <a:miter lim="800000"/>
                      <a:headEnd/>
                      <a:tailEnd/>
                    </a:ln>
                  </pic:spPr>
                </pic:pic>
              </a:graphicData>
            </a:graphic>
          </wp:inline>
        </w:drawing>
      </w:r>
    </w:p>
    <w:p w14:paraId="3E7B702B" w14:textId="77777777" w:rsidR="000D243E" w:rsidRDefault="00000000" w:rsidP="00A26D37">
      <w:pPr>
        <w:tabs>
          <w:tab w:val="left" w:pos="288"/>
        </w:tabs>
        <w:spacing w:after="120" w:line="228" w:lineRule="auto"/>
      </w:pPr>
      <w:r>
        <w:rPr>
          <w:sz w:val="16"/>
          <w:szCs w:val="16"/>
        </w:rPr>
        <w:t>Fig</w:t>
      </w:r>
      <w:r w:rsidR="00A26D37" w:rsidRPr="00225282">
        <w:rPr>
          <w:sz w:val="16"/>
          <w:szCs w:val="16"/>
        </w:rPr>
        <w:t xml:space="preserve"> </w:t>
      </w:r>
      <w:r w:rsidR="00B77CA6" w:rsidRPr="00225282">
        <w:rPr>
          <w:sz w:val="16"/>
          <w:szCs w:val="16"/>
        </w:rPr>
        <w:t>21</w:t>
      </w:r>
      <w:r>
        <w:rPr>
          <w:sz w:val="16"/>
          <w:szCs w:val="16"/>
        </w:rPr>
        <w:t>.</w:t>
      </w:r>
      <w:r w:rsidR="00A26D37" w:rsidRPr="00225282">
        <w:rPr>
          <w:sz w:val="16"/>
          <w:szCs w:val="16"/>
        </w:rPr>
        <w:t xml:space="preserve"> </w:t>
      </w:r>
      <w:r w:rsidRPr="0054261E">
        <w:rPr>
          <w:sz w:val="16"/>
          <w:szCs w:val="16"/>
        </w:rPr>
        <w:t>SARIMA model diagnostic checking results</w:t>
      </w:r>
    </w:p>
    <w:p w14:paraId="208AE489" w14:textId="77777777" w:rsidR="0070210F" w:rsidRDefault="00000000" w:rsidP="0070210F">
      <w:pPr>
        <w:pStyle w:val="Heading2"/>
        <w:numPr>
          <w:ilvl w:val="1"/>
          <w:numId w:val="12"/>
        </w:numPr>
      </w:pPr>
      <w:r w:rsidRPr="0054261E">
        <w:t xml:space="preserve">Prediction </w:t>
      </w:r>
    </w:p>
    <w:p w14:paraId="0B6E171E" w14:textId="77777777" w:rsidR="00281459" w:rsidRDefault="00000000" w:rsidP="00281459">
      <w:pPr>
        <w:spacing w:after="120"/>
        <w:ind w:firstLine="289"/>
        <w:jc w:val="both"/>
        <w:rPr>
          <w:noProof/>
        </w:rPr>
      </w:pPr>
      <w:r w:rsidRPr="0054261E">
        <w:t>After diagnostic checking, the next step is to perform forecasting on each model obtained by comparing the predicted value with the real (actual) value of the time series data, which can help the accuracy of the forecast.</w:t>
      </w:r>
      <w:r w:rsidRPr="00281459">
        <w:rPr>
          <w:noProof/>
        </w:rPr>
        <w:t xml:space="preserve"> </w:t>
      </w:r>
    </w:p>
    <w:p w14:paraId="197987FB" w14:textId="77777777" w:rsidR="00E60954" w:rsidRPr="00E5128F" w:rsidRDefault="00000000" w:rsidP="002D5706">
      <w:pPr>
        <w:tabs>
          <w:tab w:val="left" w:pos="288"/>
        </w:tabs>
        <w:spacing w:after="120" w:line="228" w:lineRule="auto"/>
        <w:jc w:val="both"/>
      </w:pPr>
      <w:r>
        <w:tab/>
      </w:r>
      <w:r w:rsidR="0054261E" w:rsidRPr="0054261E">
        <w:t>Predictions are made using test data on the ARIMA model and SARIMA model. Predictions are made to determine the alignment between actual data and predicted data. Fi</w:t>
      </w:r>
      <w:r w:rsidR="0054261E">
        <w:t>g</w:t>
      </w:r>
      <w:r w:rsidR="0054261E" w:rsidRPr="0054261E">
        <w:t xml:space="preserve"> 22 (ARIMA model prediction) and Fig 23 (SARIMA model prediction) show that the expected data fluctuations are similar to the actual data fluctuations. Although there are several various hotspot occurrences, they are not too significant. So, the ARIMA (0, 1, 1) and SARIMA (0, 1, 1) (2, 2, 1, 12) models can be maximally used for predicting hotspot occurrence.</w:t>
      </w:r>
    </w:p>
    <w:p w14:paraId="666276DB" w14:textId="77777777" w:rsidR="00E60954" w:rsidRDefault="00000000" w:rsidP="00E60954">
      <w:pPr>
        <w:tabs>
          <w:tab w:val="left" w:pos="288"/>
        </w:tabs>
        <w:spacing w:after="120" w:line="228" w:lineRule="auto"/>
        <w:jc w:val="both"/>
      </w:pPr>
      <w:r>
        <w:rPr>
          <w:noProof/>
        </w:rPr>
        <w:drawing>
          <wp:inline distT="0" distB="0" distL="0" distR="0" wp14:anchorId="66E07D19" wp14:editId="4D2C19F9">
            <wp:extent cx="3164521" cy="1260053"/>
            <wp:effectExtent l="19050" t="19050" r="17145" b="16510"/>
            <wp:docPr id="15997269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26923"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195999" cy="1272587"/>
                    </a:xfrm>
                    <a:prstGeom prst="rect">
                      <a:avLst/>
                    </a:prstGeom>
                    <a:noFill/>
                    <a:ln w="3175">
                      <a:solidFill>
                        <a:srgbClr val="000000"/>
                      </a:solidFill>
                      <a:miter lim="800000"/>
                      <a:headEnd/>
                      <a:tailEnd/>
                    </a:ln>
                    <a:effectLst/>
                  </pic:spPr>
                </pic:pic>
              </a:graphicData>
            </a:graphic>
          </wp:inline>
        </w:drawing>
      </w:r>
    </w:p>
    <w:p w14:paraId="6A76A51E" w14:textId="77777777" w:rsidR="00E60954" w:rsidRDefault="00000000" w:rsidP="00E60954">
      <w:pPr>
        <w:tabs>
          <w:tab w:val="left" w:pos="288"/>
        </w:tabs>
        <w:spacing w:after="120" w:line="228" w:lineRule="auto"/>
        <w:rPr>
          <w:noProof/>
        </w:rPr>
      </w:pPr>
      <w:r>
        <w:rPr>
          <w:sz w:val="16"/>
          <w:szCs w:val="16"/>
        </w:rPr>
        <w:t xml:space="preserve">Fig </w:t>
      </w:r>
      <w:r w:rsidR="00E5128F" w:rsidRPr="00225282">
        <w:rPr>
          <w:sz w:val="16"/>
          <w:szCs w:val="16"/>
        </w:rPr>
        <w:t>22</w:t>
      </w:r>
      <w:r>
        <w:rPr>
          <w:sz w:val="16"/>
          <w:szCs w:val="16"/>
        </w:rPr>
        <w:t>.</w:t>
      </w:r>
      <w:r w:rsidRPr="00225282">
        <w:rPr>
          <w:sz w:val="16"/>
          <w:szCs w:val="16"/>
        </w:rPr>
        <w:t xml:space="preserve"> </w:t>
      </w:r>
      <w:r w:rsidRPr="0054261E">
        <w:rPr>
          <w:sz w:val="16"/>
          <w:szCs w:val="16"/>
        </w:rPr>
        <w:t>Prediction results of ARIMA model test data</w:t>
      </w:r>
    </w:p>
    <w:p w14:paraId="64A96FE0" w14:textId="77777777" w:rsidR="00E60954" w:rsidRDefault="00000000" w:rsidP="00E60954">
      <w:pPr>
        <w:tabs>
          <w:tab w:val="left" w:pos="288"/>
        </w:tabs>
        <w:spacing w:after="120" w:line="228" w:lineRule="auto"/>
      </w:pPr>
      <w:r>
        <w:rPr>
          <w:noProof/>
        </w:rPr>
        <w:drawing>
          <wp:inline distT="0" distB="0" distL="0" distR="0" wp14:anchorId="2FED42E5" wp14:editId="3C2C1213">
            <wp:extent cx="3132220" cy="1320766"/>
            <wp:effectExtent l="19050" t="19050" r="11430" b="13335"/>
            <wp:docPr id="701864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6463"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142916" cy="1325276"/>
                    </a:xfrm>
                    <a:prstGeom prst="rect">
                      <a:avLst/>
                    </a:prstGeom>
                    <a:noFill/>
                    <a:ln w="3175">
                      <a:solidFill>
                        <a:srgbClr val="000000"/>
                      </a:solidFill>
                      <a:miter lim="800000"/>
                      <a:headEnd/>
                      <a:tailEnd/>
                    </a:ln>
                    <a:effectLst/>
                  </pic:spPr>
                </pic:pic>
              </a:graphicData>
            </a:graphic>
          </wp:inline>
        </w:drawing>
      </w:r>
    </w:p>
    <w:p w14:paraId="5335C781" w14:textId="77777777" w:rsidR="00E60954" w:rsidRDefault="00000000" w:rsidP="00EB5AC6">
      <w:pPr>
        <w:spacing w:after="120"/>
      </w:pPr>
      <w:r>
        <w:rPr>
          <w:sz w:val="16"/>
          <w:szCs w:val="16"/>
        </w:rPr>
        <w:t xml:space="preserve">Fig </w:t>
      </w:r>
      <w:r w:rsidR="00E5128F" w:rsidRPr="00225282">
        <w:rPr>
          <w:sz w:val="16"/>
          <w:szCs w:val="16"/>
        </w:rPr>
        <w:t>23</w:t>
      </w:r>
      <w:r>
        <w:rPr>
          <w:sz w:val="16"/>
          <w:szCs w:val="16"/>
        </w:rPr>
        <w:t>.</w:t>
      </w:r>
      <w:r w:rsidRPr="00225282">
        <w:rPr>
          <w:sz w:val="16"/>
          <w:szCs w:val="16"/>
        </w:rPr>
        <w:t xml:space="preserve"> </w:t>
      </w:r>
      <w:r w:rsidRPr="0054261E">
        <w:rPr>
          <w:sz w:val="16"/>
          <w:szCs w:val="16"/>
        </w:rPr>
        <w:t>SARIMA model test data prediction results</w:t>
      </w:r>
    </w:p>
    <w:p w14:paraId="5133859D" w14:textId="77777777" w:rsidR="009347E1" w:rsidRDefault="00000000" w:rsidP="00E5128F">
      <w:pPr>
        <w:tabs>
          <w:tab w:val="left" w:pos="288"/>
        </w:tabs>
        <w:spacing w:after="120" w:line="228" w:lineRule="auto"/>
        <w:ind w:firstLine="289"/>
        <w:jc w:val="both"/>
      </w:pPr>
      <w:r w:rsidRPr="0054261E">
        <w:t>Furthermore, forecasting is carried out using training data on the ARIMA and SARIMA models. Forecasting in this study was carried out to see the trend of forecasting data results for the next year, namely from 2022 to 2023, based on training data. Fig 22 (ARIMA model forecasting) and Fig 23 (SARIMA model prediction) show a downward trend at the beginning, then a decrease in the middle and a decrease again at the end of 2023. Based on these results, it is concluded that the highest occurrence of hotspots is in the middle of 2023, so that forest and land fires can be prevented.</w:t>
      </w:r>
    </w:p>
    <w:p w14:paraId="4099CB80" w14:textId="77777777" w:rsidR="0070210F" w:rsidRDefault="00000000" w:rsidP="00281459">
      <w:pPr>
        <w:spacing w:after="120"/>
        <w:jc w:val="both"/>
      </w:pPr>
      <w:r>
        <w:rPr>
          <w:noProof/>
        </w:rPr>
        <w:drawing>
          <wp:inline distT="0" distB="0" distL="0" distR="0" wp14:anchorId="01BE364D" wp14:editId="7935E1D0">
            <wp:extent cx="3154357" cy="1926032"/>
            <wp:effectExtent l="19050" t="19050" r="27305" b="17145"/>
            <wp:docPr id="16755188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18856"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169360" cy="1935193"/>
                    </a:xfrm>
                    <a:prstGeom prst="rect">
                      <a:avLst/>
                    </a:prstGeom>
                    <a:noFill/>
                    <a:ln w="3175">
                      <a:solidFill>
                        <a:srgbClr val="000000"/>
                      </a:solidFill>
                      <a:miter lim="800000"/>
                      <a:headEnd/>
                      <a:tailEnd/>
                    </a:ln>
                    <a:effectLst/>
                  </pic:spPr>
                </pic:pic>
              </a:graphicData>
            </a:graphic>
          </wp:inline>
        </w:drawing>
      </w:r>
    </w:p>
    <w:p w14:paraId="6720C3D1" w14:textId="77777777" w:rsidR="00281459" w:rsidRDefault="00000000" w:rsidP="00281459">
      <w:pPr>
        <w:spacing w:after="120"/>
        <w:rPr>
          <w:noProof/>
        </w:rPr>
      </w:pPr>
      <w:r>
        <w:rPr>
          <w:sz w:val="16"/>
          <w:szCs w:val="16"/>
        </w:rPr>
        <w:t xml:space="preserve">Fig </w:t>
      </w:r>
      <w:r w:rsidR="0073588A" w:rsidRPr="00225282">
        <w:rPr>
          <w:sz w:val="16"/>
          <w:szCs w:val="16"/>
        </w:rPr>
        <w:t>24</w:t>
      </w:r>
      <w:r>
        <w:rPr>
          <w:sz w:val="16"/>
          <w:szCs w:val="16"/>
        </w:rPr>
        <w:t>.</w:t>
      </w:r>
      <w:r w:rsidR="0070210F" w:rsidRPr="00225282">
        <w:rPr>
          <w:sz w:val="16"/>
          <w:szCs w:val="16"/>
        </w:rPr>
        <w:t xml:space="preserve"> </w:t>
      </w:r>
      <w:r w:rsidR="00EB5AC6" w:rsidRPr="00EB5AC6">
        <w:rPr>
          <w:sz w:val="16"/>
          <w:szCs w:val="16"/>
        </w:rPr>
        <w:t>ARIMA model training data forecasting results</w:t>
      </w:r>
    </w:p>
    <w:p w14:paraId="6F050C5A" w14:textId="77777777" w:rsidR="0070210F" w:rsidRDefault="00000000" w:rsidP="00281459">
      <w:pPr>
        <w:spacing w:after="120"/>
      </w:pPr>
      <w:r>
        <w:rPr>
          <w:noProof/>
        </w:rPr>
        <w:drawing>
          <wp:inline distT="0" distB="0" distL="0" distR="0" wp14:anchorId="2324F176" wp14:editId="5B5000E0">
            <wp:extent cx="3122511" cy="1910175"/>
            <wp:effectExtent l="19050" t="19050" r="20955" b="13970"/>
            <wp:docPr id="10407670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67019"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134485" cy="1917500"/>
                    </a:xfrm>
                    <a:prstGeom prst="rect">
                      <a:avLst/>
                    </a:prstGeom>
                    <a:noFill/>
                    <a:ln w="3175">
                      <a:solidFill>
                        <a:srgbClr val="000000"/>
                      </a:solidFill>
                      <a:miter lim="800000"/>
                      <a:headEnd/>
                      <a:tailEnd/>
                    </a:ln>
                    <a:effectLst/>
                  </pic:spPr>
                </pic:pic>
              </a:graphicData>
            </a:graphic>
          </wp:inline>
        </w:drawing>
      </w:r>
    </w:p>
    <w:p w14:paraId="2FB7DA53" w14:textId="77777777" w:rsidR="000D243E" w:rsidRDefault="00000000" w:rsidP="00A857BF">
      <w:pPr>
        <w:tabs>
          <w:tab w:val="left" w:pos="288"/>
        </w:tabs>
        <w:spacing w:after="120" w:line="228" w:lineRule="auto"/>
      </w:pPr>
      <w:r>
        <w:rPr>
          <w:sz w:val="16"/>
          <w:szCs w:val="16"/>
        </w:rPr>
        <w:t xml:space="preserve">Fig </w:t>
      </w:r>
      <w:r w:rsidR="0073588A" w:rsidRPr="00225282">
        <w:rPr>
          <w:sz w:val="16"/>
          <w:szCs w:val="16"/>
        </w:rPr>
        <w:t>2</w:t>
      </w:r>
      <w:r w:rsidR="00A857BF" w:rsidRPr="00225282">
        <w:rPr>
          <w:sz w:val="16"/>
          <w:szCs w:val="16"/>
        </w:rPr>
        <w:t>5</w:t>
      </w:r>
      <w:r>
        <w:rPr>
          <w:sz w:val="16"/>
          <w:szCs w:val="16"/>
        </w:rPr>
        <w:t>.</w:t>
      </w:r>
      <w:r w:rsidR="00A857BF" w:rsidRPr="00225282">
        <w:rPr>
          <w:sz w:val="16"/>
          <w:szCs w:val="16"/>
        </w:rPr>
        <w:t xml:space="preserve"> </w:t>
      </w:r>
      <w:r w:rsidRPr="00EB5AC6">
        <w:rPr>
          <w:sz w:val="16"/>
          <w:szCs w:val="16"/>
        </w:rPr>
        <w:t>SARIMA model training data forecasting results</w:t>
      </w:r>
    </w:p>
    <w:p w14:paraId="3B3F5EEB" w14:textId="77777777" w:rsidR="000D243E" w:rsidRDefault="00000000" w:rsidP="00C2522E">
      <w:pPr>
        <w:tabs>
          <w:tab w:val="left" w:pos="288"/>
        </w:tabs>
        <w:spacing w:after="120" w:line="228" w:lineRule="auto"/>
        <w:jc w:val="both"/>
      </w:pPr>
      <w:r>
        <w:tab/>
      </w:r>
      <w:r w:rsidR="00EB5AC6" w:rsidRPr="00EB5AC6">
        <w:t xml:space="preserve">The graphs in Fig 24 and </w:t>
      </w:r>
      <w:r w:rsidR="00EB5AC6">
        <w:t xml:space="preserve">Fig </w:t>
      </w:r>
      <w:r w:rsidR="00EB5AC6" w:rsidRPr="00EB5AC6">
        <w:t>25 are visualizations of forecasting for the next year, namely 2023. In this research, forecasting is carried out monthly because the data used is daily but must be combined into months.</w:t>
      </w:r>
      <w:r>
        <w:t xml:space="preserve"> </w:t>
      </w:r>
    </w:p>
    <w:p w14:paraId="09294321" w14:textId="77777777" w:rsidR="00225282" w:rsidRDefault="00000000" w:rsidP="00C2522E">
      <w:pPr>
        <w:tabs>
          <w:tab w:val="left" w:pos="288"/>
        </w:tabs>
        <w:spacing w:after="120" w:line="228" w:lineRule="auto"/>
        <w:jc w:val="both"/>
      </w:pPr>
      <w:r>
        <w:tab/>
      </w:r>
      <w:r w:rsidR="00EB5AC6" w:rsidRPr="00EB5AC6">
        <w:t>Furthermore, Fig 26 shows the value of the ARIMA model forecasting results. The value of the ARIMA model forecasting results is seen from 2020 to 2021. The lowest occurrence of hotspots was seen in the five months of 2020, then experienced the highest increase in month 1 of 2021 and dropped again in month 11 of 2021. Meanwhile, Fig 27 is the value of the SARIMA model forecasting results. The value of the ARIMA model forecasting results is seen from 2020 to 2021. The lowest occurrence of hotspots was seen in month 1 of 2020, then experienced the highest increase in month 1 of 2021 and dropped again in month 10 of 2021. Based on the value of the forecasting results, it can be used as a reference in preventing forest and land fires in that period.</w:t>
      </w:r>
    </w:p>
    <w:p w14:paraId="0F00EFBB" w14:textId="77777777" w:rsidR="00C2522E" w:rsidRDefault="00000000" w:rsidP="001B270F">
      <w:pPr>
        <w:tabs>
          <w:tab w:val="left" w:pos="288"/>
        </w:tabs>
        <w:spacing w:after="120" w:line="228" w:lineRule="auto"/>
      </w:pPr>
      <w:r>
        <w:rPr>
          <w:noProof/>
        </w:rPr>
        <w:lastRenderedPageBreak/>
        <w:drawing>
          <wp:inline distT="0" distB="0" distL="0" distR="0" wp14:anchorId="273E7661" wp14:editId="22503B63">
            <wp:extent cx="1012159" cy="1663055"/>
            <wp:effectExtent l="19050" t="19050" r="17145" b="13970"/>
            <wp:docPr id="15443191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19123"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022793" cy="1680528"/>
                    </a:xfrm>
                    <a:prstGeom prst="rect">
                      <a:avLst/>
                    </a:prstGeom>
                    <a:noFill/>
                    <a:ln w="3175">
                      <a:solidFill>
                        <a:srgbClr val="000000"/>
                      </a:solidFill>
                      <a:miter lim="800000"/>
                      <a:headEnd/>
                      <a:tailEnd/>
                    </a:ln>
                    <a:effectLst/>
                  </pic:spPr>
                </pic:pic>
              </a:graphicData>
            </a:graphic>
          </wp:inline>
        </w:drawing>
      </w:r>
    </w:p>
    <w:p w14:paraId="31F988E4" w14:textId="77777777" w:rsidR="00C2522E" w:rsidRPr="001A7DC3" w:rsidRDefault="00000000" w:rsidP="0048472D">
      <w:pPr>
        <w:pStyle w:val="IEEEParagraph"/>
        <w:spacing w:after="120"/>
        <w:ind w:firstLine="0"/>
        <w:jc w:val="center"/>
      </w:pPr>
      <w:r>
        <w:rPr>
          <w:sz w:val="16"/>
          <w:szCs w:val="20"/>
        </w:rPr>
        <w:t xml:space="preserve">Fig </w:t>
      </w:r>
      <w:r w:rsidR="0048472D" w:rsidRPr="00225282">
        <w:rPr>
          <w:sz w:val="16"/>
          <w:szCs w:val="20"/>
        </w:rPr>
        <w:t>26</w:t>
      </w:r>
      <w:r>
        <w:rPr>
          <w:sz w:val="16"/>
          <w:szCs w:val="20"/>
        </w:rPr>
        <w:t>.</w:t>
      </w:r>
      <w:r w:rsidRPr="00225282">
        <w:rPr>
          <w:sz w:val="16"/>
          <w:szCs w:val="20"/>
        </w:rPr>
        <w:t xml:space="preserve"> </w:t>
      </w:r>
      <w:r w:rsidRPr="00EB5AC6">
        <w:rPr>
          <w:sz w:val="16"/>
          <w:szCs w:val="20"/>
        </w:rPr>
        <w:t>ARIMA model forecasting result value</w:t>
      </w:r>
    </w:p>
    <w:p w14:paraId="4D054FE5" w14:textId="77777777" w:rsidR="00294E64" w:rsidRDefault="00000000" w:rsidP="001B270F">
      <w:pPr>
        <w:tabs>
          <w:tab w:val="left" w:pos="288"/>
        </w:tabs>
        <w:spacing w:after="120" w:line="228" w:lineRule="auto"/>
      </w:pPr>
      <w:r>
        <w:rPr>
          <w:noProof/>
        </w:rPr>
        <w:drawing>
          <wp:inline distT="0" distB="0" distL="0" distR="0" wp14:anchorId="7B02F7C3" wp14:editId="3BE7F9E3">
            <wp:extent cx="982215" cy="1604010"/>
            <wp:effectExtent l="19050" t="19050" r="27940" b="15240"/>
            <wp:docPr id="2393442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44258"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86939" cy="1611725"/>
                    </a:xfrm>
                    <a:prstGeom prst="rect">
                      <a:avLst/>
                    </a:prstGeom>
                    <a:noFill/>
                    <a:ln w="3175">
                      <a:solidFill>
                        <a:srgbClr val="000000"/>
                      </a:solidFill>
                      <a:miter lim="800000"/>
                      <a:headEnd/>
                      <a:tailEnd/>
                    </a:ln>
                    <a:effectLst/>
                  </pic:spPr>
                </pic:pic>
              </a:graphicData>
            </a:graphic>
          </wp:inline>
        </w:drawing>
      </w:r>
    </w:p>
    <w:p w14:paraId="5FD6DF74" w14:textId="77777777" w:rsidR="0082717D" w:rsidRDefault="00000000" w:rsidP="0082717D">
      <w:pPr>
        <w:tabs>
          <w:tab w:val="left" w:pos="288"/>
        </w:tabs>
        <w:spacing w:after="120" w:line="228" w:lineRule="auto"/>
      </w:pPr>
      <w:r>
        <w:rPr>
          <w:sz w:val="16"/>
          <w:szCs w:val="16"/>
        </w:rPr>
        <w:t xml:space="preserve">Fig </w:t>
      </w:r>
      <w:r w:rsidR="0048472D" w:rsidRPr="00225282">
        <w:rPr>
          <w:sz w:val="16"/>
          <w:szCs w:val="16"/>
        </w:rPr>
        <w:t>27</w:t>
      </w:r>
      <w:r>
        <w:rPr>
          <w:sz w:val="16"/>
          <w:szCs w:val="16"/>
        </w:rPr>
        <w:t>.</w:t>
      </w:r>
      <w:r w:rsidRPr="00225282">
        <w:rPr>
          <w:sz w:val="16"/>
          <w:szCs w:val="16"/>
        </w:rPr>
        <w:t xml:space="preserve"> </w:t>
      </w:r>
      <w:r w:rsidRPr="00EB5AC6">
        <w:rPr>
          <w:sz w:val="16"/>
          <w:szCs w:val="16"/>
        </w:rPr>
        <w:t>SARIMA model forecasting result value</w:t>
      </w:r>
    </w:p>
    <w:p w14:paraId="5147481F" w14:textId="77777777" w:rsidR="0082717D" w:rsidRDefault="00000000" w:rsidP="0082717D">
      <w:pPr>
        <w:pStyle w:val="Heading2"/>
        <w:numPr>
          <w:ilvl w:val="1"/>
          <w:numId w:val="12"/>
        </w:numPr>
        <w:pBdr>
          <w:top w:val="none" w:sz="0" w:space="0" w:color="auto"/>
          <w:left w:val="none" w:sz="0" w:space="0" w:color="auto"/>
          <w:bottom w:val="none" w:sz="0" w:space="0" w:color="auto"/>
          <w:right w:val="none" w:sz="0" w:space="0" w:color="auto"/>
        </w:pBdr>
      </w:pPr>
      <w:r w:rsidRPr="00EB5AC6">
        <w:t>Prediction Model Evaluation</w:t>
      </w:r>
    </w:p>
    <w:p w14:paraId="36A6A514" w14:textId="77777777" w:rsidR="00A62C83" w:rsidRDefault="00000000" w:rsidP="003872F7">
      <w:pPr>
        <w:spacing w:after="120" w:line="228" w:lineRule="auto"/>
        <w:ind w:firstLine="288"/>
        <w:jc w:val="both"/>
        <w:rPr>
          <w:lang w:val="en-GB"/>
        </w:rPr>
      </w:pPr>
      <w:r w:rsidRPr="00EB5AC6">
        <w:t>The last stage after prediction is to evaluate the results of forecasting that has been done. Model testing is done using the calculation of Mean Squared Error (MSE) and Root Mean Square Error (RMSE). In this study, the ARIMA model obtained an MSE value of 43.70 and an RMSE of 6.61. At the same time, the SARIMA model received an MSE value of 58.05 and an RMSE of 7.61. Based on the results of this comparison, it can be concluded that the ARIMA (0, 1, 1) model is best for predicting the occurrence of hotspots of forest and land fires in the West Kalimantan region. The details of the model evaluation results can be seen in Table 1.</w:t>
      </w:r>
    </w:p>
    <w:p w14:paraId="3217C59C" w14:textId="77777777" w:rsidR="00A62C83" w:rsidRDefault="00000000" w:rsidP="00A62C83">
      <w:pPr>
        <w:tabs>
          <w:tab w:val="left" w:pos="288"/>
        </w:tabs>
        <w:spacing w:after="120" w:line="228" w:lineRule="auto"/>
        <w:rPr>
          <w:lang w:val="en-GB"/>
        </w:rPr>
      </w:pPr>
      <w:r w:rsidRPr="003872F7">
        <w:rPr>
          <w:sz w:val="18"/>
          <w:szCs w:val="18"/>
          <w:lang w:val="en-GB"/>
        </w:rPr>
        <w:t>Tabl</w:t>
      </w:r>
      <w:r w:rsidR="00EB5AC6">
        <w:rPr>
          <w:sz w:val="18"/>
          <w:szCs w:val="18"/>
          <w:lang w:val="en-GB"/>
        </w:rPr>
        <w:t>e</w:t>
      </w:r>
      <w:r w:rsidRPr="003872F7">
        <w:rPr>
          <w:sz w:val="18"/>
          <w:szCs w:val="18"/>
          <w:lang w:val="en-GB"/>
        </w:rPr>
        <w:t xml:space="preserve"> 1. </w:t>
      </w:r>
      <w:r w:rsidR="00EB5AC6" w:rsidRPr="00EB5AC6">
        <w:rPr>
          <w:sz w:val="18"/>
          <w:szCs w:val="18"/>
          <w:lang w:val="en-GB"/>
        </w:rPr>
        <w:t>Evaluation of ARIMA and SARIMA prediction models</w:t>
      </w:r>
    </w:p>
    <w:tbl>
      <w:tblPr>
        <w:tblStyle w:val="TableGrid"/>
        <w:tblW w:w="4922" w:type="dxa"/>
        <w:tblInd w:w="108" w:type="dxa"/>
        <w:tblLook w:val="04A0" w:firstRow="1" w:lastRow="0" w:firstColumn="1" w:lastColumn="0" w:noHBand="0" w:noVBand="1"/>
      </w:tblPr>
      <w:tblGrid>
        <w:gridCol w:w="1568"/>
        <w:gridCol w:w="1676"/>
        <w:gridCol w:w="1678"/>
      </w:tblGrid>
      <w:tr w:rsidR="00943058" w14:paraId="633EB199" w14:textId="77777777" w:rsidTr="00EB5AC6">
        <w:tc>
          <w:tcPr>
            <w:tcW w:w="1568" w:type="dxa"/>
          </w:tcPr>
          <w:p w14:paraId="5504C73D"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Metode</w:t>
            </w:r>
          </w:p>
        </w:tc>
        <w:tc>
          <w:tcPr>
            <w:tcW w:w="1676" w:type="dxa"/>
          </w:tcPr>
          <w:p w14:paraId="335C59A2"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ARIMA</w:t>
            </w:r>
          </w:p>
        </w:tc>
        <w:tc>
          <w:tcPr>
            <w:tcW w:w="1678" w:type="dxa"/>
          </w:tcPr>
          <w:p w14:paraId="78E779F5"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SARIMA</w:t>
            </w:r>
          </w:p>
        </w:tc>
      </w:tr>
      <w:tr w:rsidR="00943058" w14:paraId="5776DB7A" w14:textId="77777777" w:rsidTr="00EB5AC6">
        <w:tc>
          <w:tcPr>
            <w:tcW w:w="1568" w:type="dxa"/>
          </w:tcPr>
          <w:p w14:paraId="773035B0"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MAP</w:t>
            </w:r>
          </w:p>
        </w:tc>
        <w:tc>
          <w:tcPr>
            <w:tcW w:w="1676" w:type="dxa"/>
          </w:tcPr>
          <w:p w14:paraId="0F888B7D"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43,70</w:t>
            </w:r>
          </w:p>
        </w:tc>
        <w:tc>
          <w:tcPr>
            <w:tcW w:w="1678" w:type="dxa"/>
          </w:tcPr>
          <w:p w14:paraId="045BF947"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58,05</w:t>
            </w:r>
          </w:p>
        </w:tc>
      </w:tr>
      <w:tr w:rsidR="00943058" w14:paraId="392B9DF0" w14:textId="77777777" w:rsidTr="00EB5AC6">
        <w:tc>
          <w:tcPr>
            <w:tcW w:w="1568" w:type="dxa"/>
          </w:tcPr>
          <w:p w14:paraId="05CECA7D"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RMSE</w:t>
            </w:r>
          </w:p>
        </w:tc>
        <w:tc>
          <w:tcPr>
            <w:tcW w:w="1676" w:type="dxa"/>
          </w:tcPr>
          <w:p w14:paraId="693AD7DA"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6,61</w:t>
            </w:r>
          </w:p>
        </w:tc>
        <w:tc>
          <w:tcPr>
            <w:tcW w:w="1678" w:type="dxa"/>
          </w:tcPr>
          <w:p w14:paraId="1177BA1D" w14:textId="77777777" w:rsidR="00A62C83" w:rsidRDefault="00000000" w:rsidP="003872F7">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pPr>
            <w:r>
              <w:t>7,61</w:t>
            </w:r>
          </w:p>
        </w:tc>
      </w:tr>
    </w:tbl>
    <w:p w14:paraId="5956CAE4" w14:textId="77777777" w:rsidR="005038C4" w:rsidRDefault="00000000" w:rsidP="005038C4">
      <w:pPr>
        <w:pStyle w:val="Heading1"/>
        <w:numPr>
          <w:ilvl w:val="0"/>
          <w:numId w:val="1"/>
        </w:numPr>
      </w:pPr>
      <w:r w:rsidRPr="00EB5AC6">
        <w:t>Conclusions</w:t>
      </w:r>
    </w:p>
    <w:p w14:paraId="71B26A56" w14:textId="77777777" w:rsidR="00D267BE" w:rsidRPr="00C837FA" w:rsidRDefault="00000000" w:rsidP="00D267BE">
      <w:pPr>
        <w:pStyle w:val="IEEEParagraph"/>
        <w:ind w:firstLine="284"/>
        <w:rPr>
          <w:lang w:val="en-US"/>
        </w:rPr>
      </w:pPr>
      <w:r w:rsidRPr="00EB5AC6">
        <w:rPr>
          <w:lang w:val="en-US"/>
        </w:rPr>
        <w:t xml:space="preserve">Based on the modelling that has been done to predict the number of forest and land fire hotspot occurrences in the West Kalimantan region, the best models are ARIMA (0,1,1) and SARIMA (0,1,1) (2,2,1)12 models. The ARIMA's Root Mean Square Error (RMSE) evaluation result is 6.61, while SARIMA is 7.61. Meanwhile, ARIMA's Mean Squared Error (MSE) evaluation value is 43.70, and SARIMA is 58.05. Therefore, the ARIMA model performs well in predicting the occurrence of hotspots with a smaller RMSE value than SARIMA. Then, the highest average event of hotspots in the West Kalimantan </w:t>
      </w:r>
      <w:r w:rsidRPr="00EB5AC6">
        <w:rPr>
          <w:lang w:val="en-US"/>
        </w:rPr>
        <w:t>region occurs in the mid-year period so that it can be used as a reference in preventing forest fires that are more effective and efficient in that period.</w:t>
      </w:r>
    </w:p>
    <w:p w14:paraId="64A65974" w14:textId="77777777" w:rsidR="00914DE2" w:rsidRDefault="00000000">
      <w:pPr>
        <w:pStyle w:val="Heading5"/>
      </w:pPr>
      <w:r>
        <w:t>References</w:t>
      </w:r>
    </w:p>
    <w:p w14:paraId="5CC2ACDA" w14:textId="77777777" w:rsidR="009622A3" w:rsidRPr="009622A3" w:rsidRDefault="00000000" w:rsidP="009622A3">
      <w:pPr>
        <w:autoSpaceDE w:val="0"/>
        <w:autoSpaceDN w:val="0"/>
        <w:adjustRightInd w:val="0"/>
        <w:ind w:left="640" w:hanging="640"/>
        <w:jc w:val="both"/>
        <w:rPr>
          <w:noProof/>
          <w:sz w:val="16"/>
          <w:szCs w:val="24"/>
        </w:rPr>
      </w:pPr>
      <w:r>
        <w:fldChar w:fldCharType="begin" w:fldLock="1"/>
      </w:r>
      <w:r>
        <w:instrText xml:space="preserve">ADDIN Mendeley Bibliography CSL_BIBLIOGRAPHY </w:instrText>
      </w:r>
      <w:r>
        <w:fldChar w:fldCharType="separate"/>
      </w:r>
      <w:r w:rsidRPr="009622A3">
        <w:rPr>
          <w:noProof/>
          <w:sz w:val="16"/>
          <w:szCs w:val="24"/>
        </w:rPr>
        <w:t>[1]</w:t>
      </w:r>
      <w:r w:rsidRPr="009622A3">
        <w:rPr>
          <w:noProof/>
          <w:sz w:val="16"/>
          <w:szCs w:val="24"/>
        </w:rPr>
        <w:tab/>
        <w:t xml:space="preserve">D. P. Melaponty, F. Fahrizal, and T. F. Manurung, “Species diversity of forest vegetation in city forest Bukit Senja area middle Singkawang district Singkawang city,” </w:t>
      </w:r>
      <w:r w:rsidRPr="009622A3">
        <w:rPr>
          <w:i/>
          <w:iCs/>
          <w:noProof/>
          <w:sz w:val="16"/>
          <w:szCs w:val="24"/>
        </w:rPr>
        <w:t>J. Hutan Lestari</w:t>
      </w:r>
      <w:r w:rsidRPr="009622A3">
        <w:rPr>
          <w:noProof/>
          <w:sz w:val="16"/>
          <w:szCs w:val="24"/>
        </w:rPr>
        <w:t>, vol. 7, no. 2, pp. 893–904, 2019.</w:t>
      </w:r>
    </w:p>
    <w:p w14:paraId="336E0EBF"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w:t>
      </w:r>
      <w:r w:rsidRPr="009622A3">
        <w:rPr>
          <w:noProof/>
          <w:sz w:val="16"/>
          <w:szCs w:val="24"/>
        </w:rPr>
        <w:tab/>
        <w:t xml:space="preserve">A. Suhaibah, “Tinjauan Yuridis Terhadap Peranan Pemerintah Dalam Pelaksanaan Rehabilitasi Hutan Manggrove,” </w:t>
      </w:r>
      <w:r w:rsidRPr="009622A3">
        <w:rPr>
          <w:i/>
          <w:iCs/>
          <w:noProof/>
          <w:sz w:val="16"/>
          <w:szCs w:val="24"/>
        </w:rPr>
        <w:t>J. Sos. Hum. Sigli</w:t>
      </w:r>
      <w:r w:rsidRPr="009622A3">
        <w:rPr>
          <w:noProof/>
          <w:sz w:val="16"/>
          <w:szCs w:val="24"/>
        </w:rPr>
        <w:t>, vol. 2, no. 2, pp. 17–34, 2019, doi: 10.47647/jsh.v2i2.168.</w:t>
      </w:r>
    </w:p>
    <w:p w14:paraId="20389047"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[3]</w:t>
      </w:r>
      <w:r w:rsidRPr="009622A3">
        <w:rPr>
          <w:noProof/>
          <w:sz w:val="16"/>
          <w:szCs w:val="24"/>
        </w:rPr>
        <w:tab/>
        <w:t xml:space="preserve">S. Nurbaya, Efransyah, S. Murniningtyas, Erwinsyah, and E. Damayanti, </w:t>
      </w:r>
      <w:r w:rsidRPr="009622A3">
        <w:rPr>
          <w:i/>
          <w:iCs/>
          <w:noProof/>
          <w:sz w:val="16"/>
          <w:szCs w:val="24"/>
        </w:rPr>
        <w:t>Status Hutan dan Kehutanan Indonesia 2020</w:t>
      </w:r>
      <w:r w:rsidRPr="009622A3">
        <w:rPr>
          <w:noProof/>
          <w:sz w:val="16"/>
          <w:szCs w:val="24"/>
        </w:rPr>
        <w:t>, vol. 17, no. 2. 2021. [Online]. Available: http://journal.ummgl.ac.id/index.php/urecol/article/view/719/804%0Ahttp://www.forestprogramme.com/files/2011/05/FOREST-Standard-Guide_V04_UK.pdf</w:t>
      </w:r>
    </w:p>
    <w:p w14:paraId="3503B3EF"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[4]</w:t>
      </w:r>
      <w:r w:rsidRPr="009622A3">
        <w:rPr>
          <w:noProof/>
          <w:sz w:val="16"/>
          <w:szCs w:val="24"/>
        </w:rPr>
        <w:tab/>
        <w:t xml:space="preserve">H. Wahyuni and S. Suranto, “Dampak Deforestasi Hutan Skala Besar terhadap Pemanasan Global di Indonesia,” </w:t>
      </w:r>
      <w:r w:rsidRPr="009622A3">
        <w:rPr>
          <w:i/>
          <w:iCs/>
          <w:noProof/>
          <w:sz w:val="16"/>
          <w:szCs w:val="24"/>
        </w:rPr>
        <w:t>JIIP J. Ilm. Ilmu Pemerintah.</w:t>
      </w:r>
      <w:r w:rsidRPr="009622A3">
        <w:rPr>
          <w:noProof/>
          <w:sz w:val="16"/>
          <w:szCs w:val="24"/>
        </w:rPr>
        <w:t>, vol. 6, no. 1, pp. 148–162, 2021, doi: 10.14710/jiip.v6i1.10083.</w:t>
      </w:r>
    </w:p>
    <w:p w14:paraId="6A1A9DE1"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[5]</w:t>
      </w:r>
      <w:r w:rsidRPr="009622A3">
        <w:rPr>
          <w:noProof/>
          <w:sz w:val="16"/>
          <w:szCs w:val="24"/>
        </w:rPr>
        <w:tab/>
        <w:t xml:space="preserve">A. H. Putra, F. Oktari, and A. M. Putriana, “Deforestasi dan Pengaruhnya Terhadap Tingkat Bahaya Kebakaran Hutan di Kabupaten Agam Provinsi Sumatera Barat,” </w:t>
      </w:r>
      <w:r w:rsidRPr="009622A3">
        <w:rPr>
          <w:i/>
          <w:iCs/>
          <w:noProof/>
          <w:sz w:val="16"/>
          <w:szCs w:val="24"/>
        </w:rPr>
        <w:t>J. Dialog Penanggulangan Bencana</w:t>
      </w:r>
      <w:r w:rsidRPr="009622A3">
        <w:rPr>
          <w:noProof/>
          <w:sz w:val="16"/>
          <w:szCs w:val="24"/>
        </w:rPr>
        <w:t>, vol. 10, no. 2, pp. 191–200, 2019.</w:t>
      </w:r>
    </w:p>
    <w:p w14:paraId="1A27BA93"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[6]</w:t>
      </w:r>
      <w:r w:rsidRPr="009622A3">
        <w:rPr>
          <w:noProof/>
          <w:sz w:val="16"/>
          <w:szCs w:val="24"/>
        </w:rPr>
        <w:tab/>
        <w:t xml:space="preserve">A. D. Nurhayati and L. Arhami, “Gangguan Hutan di KPH Kuningan Divisi Regional Jawa Barat dan Banten,” </w:t>
      </w:r>
      <w:r w:rsidRPr="009622A3">
        <w:rPr>
          <w:i/>
          <w:iCs/>
          <w:noProof/>
          <w:sz w:val="16"/>
          <w:szCs w:val="24"/>
        </w:rPr>
        <w:t>J. Trop. Silvic.</w:t>
      </w:r>
      <w:r w:rsidRPr="009622A3">
        <w:rPr>
          <w:noProof/>
          <w:sz w:val="16"/>
          <w:szCs w:val="24"/>
        </w:rPr>
        <w:t>, vol. 10, no. 3, pp. 159–165, 2019, doi: 10.29244/j-siltrop.10.3.159-165.</w:t>
      </w:r>
    </w:p>
    <w:p w14:paraId="012D5A38"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[7]</w:t>
      </w:r>
      <w:r w:rsidRPr="009622A3">
        <w:rPr>
          <w:noProof/>
          <w:sz w:val="16"/>
          <w:szCs w:val="24"/>
        </w:rPr>
        <w:tab/>
        <w:t xml:space="preserve">A. Muzaki, R. Pratiwi, and S. R. Az Zahro, “Pengendalian Kebakaran Hutan Melalui Penguatan Peran Polisi Kehutanan Untuk Mewujudkan Sustainable Development Goals,” </w:t>
      </w:r>
      <w:r w:rsidRPr="009622A3">
        <w:rPr>
          <w:i/>
          <w:iCs/>
          <w:noProof/>
          <w:sz w:val="16"/>
          <w:szCs w:val="24"/>
        </w:rPr>
        <w:t>LITRA J. Huk. Lingkungan, Tata Ruang, dan Agrar.</w:t>
      </w:r>
      <w:r w:rsidRPr="009622A3">
        <w:rPr>
          <w:noProof/>
          <w:sz w:val="16"/>
          <w:szCs w:val="24"/>
        </w:rPr>
        <w:t>, vol. 1, no. 1, pp. 22–44, 2021, doi: 10.23920/litra.v1i1.579.</w:t>
      </w:r>
    </w:p>
    <w:p w14:paraId="43EACE64"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[8]</w:t>
      </w:r>
      <w:r w:rsidRPr="009622A3">
        <w:rPr>
          <w:noProof/>
          <w:sz w:val="16"/>
          <w:szCs w:val="24"/>
        </w:rPr>
        <w:tab/>
        <w:t xml:space="preserve">M. Alkaff, A. F. Zulkarnain,  </w:t>
      </w:r>
      <w:dir w:val="ltr">
        <w:r w:rsidRPr="009622A3">
          <w:rPr>
            <w:noProof/>
            <w:sz w:val="16"/>
            <w:szCs w:val="24"/>
          </w:rPr>
          <w:t xml:space="preserve">Nurul F. Mustamin, and N. E. Yulianto, “Peramalan Jumlah Titik Api Pada Lahan Gambut Kalimantan Menggunakan Model Zero-Inflated Poisson Regression,” </w:t>
        </w:r>
        <w:r w:rsidRPr="009622A3">
          <w:rPr>
            <w:i/>
            <w:iCs/>
            <w:noProof/>
            <w:sz w:val="16"/>
            <w:szCs w:val="24"/>
          </w:rPr>
          <w:t>Inspir. J. Teknol. Inf. dan Komun.</w:t>
        </w:r>
        <w:r w:rsidRPr="009622A3">
          <w:rPr>
            <w:noProof/>
            <w:sz w:val="16"/>
            <w:szCs w:val="24"/>
          </w:rPr>
          <w:t>, vol. 11, no. 2, p. 115, 2021, doi: 10.35585/inspir.v11i2.2664.</w:t>
        </w:r>
        <w:r>
          <w:t>‬</w:t>
        </w:r>
        <w:r>
          <w:t>‬</w:t>
        </w:r>
        <w:r>
          <w:t>‬</w:t>
        </w:r>
        <w:r>
          <w:t>‬</w:t>
        </w:r>
        <w:r>
          <w:t>‬</w:t>
        </w:r>
      </w:dir>
    </w:p>
    <w:p w14:paraId="21FCA713"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[9]</w:t>
      </w:r>
      <w:r w:rsidRPr="009622A3">
        <w:rPr>
          <w:noProof/>
          <w:sz w:val="16"/>
          <w:szCs w:val="24"/>
        </w:rPr>
        <w:tab/>
        <w:t xml:space="preserve">S. Santriwati, H. Halide, and H. Hasanuddin, “Faktor Osean – Atmosfer untuk Memprediksi Titik Panas (Hostspot) di Wilayah Asia Tenggara Bagian Selatan,” </w:t>
      </w:r>
      <w:r w:rsidRPr="009622A3">
        <w:rPr>
          <w:i/>
          <w:iCs/>
          <w:noProof/>
          <w:sz w:val="16"/>
          <w:szCs w:val="24"/>
        </w:rPr>
        <w:t>J. Geocelebes</w:t>
      </w:r>
      <w:r w:rsidRPr="009622A3">
        <w:rPr>
          <w:noProof/>
          <w:sz w:val="16"/>
          <w:szCs w:val="24"/>
        </w:rPr>
        <w:t>, vol. 5, no. 2, pp. 116–130, 2021, doi: 10.20956/geocelebes.v5i2.13454.</w:t>
      </w:r>
    </w:p>
    <w:p w14:paraId="74A2538C"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[10]</w:t>
      </w:r>
      <w:r w:rsidRPr="009622A3">
        <w:rPr>
          <w:noProof/>
          <w:sz w:val="16"/>
          <w:szCs w:val="24"/>
        </w:rPr>
        <w:tab/>
        <w:t xml:space="preserve">T. A. Pratiwi, M. Irsyad, and R. Kurniawan, “Klasifikasi Kebakaran Hutan dan Lahan Menggunakan Algoritma Naïve Bayes (Studi Kasus: Provinsi Riau),” </w:t>
      </w:r>
      <w:r w:rsidRPr="009622A3">
        <w:rPr>
          <w:i/>
          <w:iCs/>
          <w:noProof/>
          <w:sz w:val="16"/>
          <w:szCs w:val="24"/>
        </w:rPr>
        <w:t>J. Sist. dan Teknol. Inf.</w:t>
      </w:r>
      <w:r w:rsidRPr="009622A3">
        <w:rPr>
          <w:noProof/>
          <w:sz w:val="16"/>
          <w:szCs w:val="24"/>
        </w:rPr>
        <w:t>, vol. 9, no. 2, p. 101, 2021, doi: 10.26418/Justin.v9i2.42823.</w:t>
      </w:r>
    </w:p>
    <w:p w14:paraId="126C2549"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[11]</w:t>
      </w:r>
      <w:r w:rsidRPr="009622A3">
        <w:rPr>
          <w:noProof/>
          <w:sz w:val="16"/>
          <w:szCs w:val="24"/>
        </w:rPr>
        <w:tab/>
        <w:t xml:space="preserve">Endrawati, J. Purwanto, S. Nugroho, and R. A. S, “Identifikasi Areal Bekas Kebakaran Hutan Dan Lahan Menggunakan Analisis Semi Otomatis Citra Satelit,” </w:t>
      </w:r>
      <w:r w:rsidRPr="009622A3">
        <w:rPr>
          <w:i/>
          <w:iCs/>
          <w:noProof/>
          <w:sz w:val="16"/>
          <w:szCs w:val="24"/>
        </w:rPr>
        <w:t>Semin. Nas. Geomatika 2017 Inov. Teknol. Penyediaan Inf. Geospasial untuk Pembang. Berkelanjutan</w:t>
      </w:r>
      <w:r w:rsidRPr="009622A3">
        <w:rPr>
          <w:noProof/>
          <w:sz w:val="16"/>
          <w:szCs w:val="24"/>
        </w:rPr>
        <w:t>, pp. 273–282, 2016.</w:t>
      </w:r>
    </w:p>
    <w:p w14:paraId="59DF2C12"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[12]</w:t>
      </w:r>
      <w:r w:rsidRPr="009622A3">
        <w:rPr>
          <w:noProof/>
          <w:sz w:val="16"/>
          <w:szCs w:val="24"/>
        </w:rPr>
        <w:tab/>
        <w:t xml:space="preserve">B. H. Saharjo and D. A. Nugraha, “Pengaruh Curah Hujan terhadap Penurunan Titik Panas (Hotspot) ti Indonesia pada Tahun 2019-2020,” </w:t>
      </w:r>
      <w:r w:rsidRPr="009622A3">
        <w:rPr>
          <w:i/>
          <w:iCs/>
          <w:noProof/>
          <w:sz w:val="16"/>
          <w:szCs w:val="24"/>
        </w:rPr>
        <w:t>J. Trop. Silvic.</w:t>
      </w:r>
      <w:r w:rsidRPr="009622A3">
        <w:rPr>
          <w:noProof/>
          <w:sz w:val="16"/>
          <w:szCs w:val="24"/>
        </w:rPr>
        <w:t>, vol. 13, no. 03, pp. 184–190, 2022, doi: 10.29244/j-siltrop.13.03.184-190.</w:t>
      </w:r>
    </w:p>
    <w:p w14:paraId="61AAA479"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[13]</w:t>
      </w:r>
      <w:r w:rsidRPr="009622A3">
        <w:rPr>
          <w:noProof/>
          <w:sz w:val="16"/>
          <w:szCs w:val="24"/>
        </w:rPr>
        <w:tab/>
        <w:t xml:space="preserve">U. Khaira, M. Alfalah, P. C. S. Gulo, and R. Purnomo, “Prediksi Kemunculan Titik Panas Di Lahan Gambut Provinsi Riau Menggunakan Long Short Term Memory,” </w:t>
      </w:r>
      <w:r w:rsidRPr="009622A3">
        <w:rPr>
          <w:i/>
          <w:iCs/>
          <w:noProof/>
          <w:sz w:val="16"/>
          <w:szCs w:val="24"/>
        </w:rPr>
        <w:t>J. Inform. J. Pengemb. IT</w:t>
      </w:r>
      <w:r w:rsidRPr="009622A3">
        <w:rPr>
          <w:noProof/>
          <w:sz w:val="16"/>
          <w:szCs w:val="24"/>
        </w:rPr>
        <w:t>, vol. 5, no. 3, pp. 77–82, 2020, [Online]. Available: http://ejournal.poltektegal.ac.id/index.php/informatika/article/view/1931</w:t>
      </w:r>
    </w:p>
    <w:p w14:paraId="6A74B269"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[14]</w:t>
      </w:r>
      <w:r w:rsidRPr="009622A3">
        <w:rPr>
          <w:noProof/>
          <w:sz w:val="16"/>
          <w:szCs w:val="24"/>
        </w:rPr>
        <w:tab/>
        <w:t>W. Maulida, “Model Prediksi Jumlah Kemunculan Titik Panas di Kabupaten Rokan Hilir Menggunakan Elman Recurrent Neural Network,” 2018, [Online]. Available: https://repository.ipb.ac.id/handle/123456789/93678</w:t>
      </w:r>
    </w:p>
    <w:p w14:paraId="19ED5B09"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[15]</w:t>
      </w:r>
      <w:r w:rsidRPr="009622A3">
        <w:rPr>
          <w:noProof/>
          <w:sz w:val="16"/>
          <w:szCs w:val="24"/>
        </w:rPr>
        <w:tab/>
        <w:t xml:space="preserve">M. Alkaff and N. E. Yulianto, “Prediksi Jumlah Kejadian Titik Api Melalui Pendekatan Deret Waktu Menggunakan Model Seasonal Arima,” </w:t>
      </w:r>
      <w:r w:rsidRPr="009622A3">
        <w:rPr>
          <w:i/>
          <w:iCs/>
          <w:noProof/>
          <w:sz w:val="16"/>
          <w:szCs w:val="24"/>
        </w:rPr>
        <w:t>J. ELTIKOM</w:t>
      </w:r>
      <w:r w:rsidRPr="009622A3">
        <w:rPr>
          <w:noProof/>
          <w:sz w:val="16"/>
          <w:szCs w:val="24"/>
        </w:rPr>
        <w:t>, vol. 3, no. 2, pp. 54–63, 2019, doi: 10.31961/eltikom.v3i2.122.</w:t>
      </w:r>
    </w:p>
    <w:p w14:paraId="41CA2988"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lastRenderedPageBreak/>
        <w:t>[16]</w:t>
      </w:r>
      <w:r w:rsidRPr="009622A3">
        <w:rPr>
          <w:noProof/>
          <w:sz w:val="16"/>
          <w:szCs w:val="24"/>
        </w:rPr>
        <w:tab/>
        <w:t xml:space="preserve">I. B. B. Mahayana, I. Mulyadi, and S. Soraya, “Peramalan Penjualan Helm dengan Metode ARIMA (Studi Kasus Bagus Store),” </w:t>
      </w:r>
      <w:r w:rsidRPr="009622A3">
        <w:rPr>
          <w:i/>
          <w:iCs/>
          <w:noProof/>
          <w:sz w:val="16"/>
          <w:szCs w:val="24"/>
        </w:rPr>
        <w:t>Inferensi</w:t>
      </w:r>
      <w:r w:rsidRPr="009622A3">
        <w:rPr>
          <w:noProof/>
          <w:sz w:val="16"/>
          <w:szCs w:val="24"/>
        </w:rPr>
        <w:t>, vol. 5, no. 1, p. 45, 2022, doi: 10.12962/j27213862.v5i1.12469.</w:t>
      </w:r>
    </w:p>
    <w:p w14:paraId="03A82844"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[17]</w:t>
      </w:r>
      <w:r w:rsidRPr="009622A3">
        <w:rPr>
          <w:noProof/>
          <w:sz w:val="16"/>
          <w:szCs w:val="24"/>
        </w:rPr>
        <w:tab/>
        <w:t xml:space="preserve">Zulhamidi and R. Hardianto, “Peramalan Penjualan Teh Hijau Dengan Metode Arima (Studi Kasus Pada Pt. Mk),” </w:t>
      </w:r>
      <w:r w:rsidRPr="009622A3">
        <w:rPr>
          <w:i/>
          <w:iCs/>
          <w:noProof/>
          <w:sz w:val="16"/>
          <w:szCs w:val="24"/>
        </w:rPr>
        <w:t>J. PASTI</w:t>
      </w:r>
      <w:r w:rsidRPr="009622A3">
        <w:rPr>
          <w:noProof/>
          <w:sz w:val="16"/>
          <w:szCs w:val="24"/>
        </w:rPr>
        <w:t>, vol. XI, no. 3, pp. 231–244, 2017.</w:t>
      </w:r>
    </w:p>
    <w:p w14:paraId="651D74B8"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[18]</w:t>
      </w:r>
      <w:r w:rsidRPr="009622A3">
        <w:rPr>
          <w:noProof/>
          <w:sz w:val="16"/>
          <w:szCs w:val="24"/>
        </w:rPr>
        <w:tab/>
        <w:t xml:space="preserve">M. I. Rizki and T. A. Taqiyyuddin, “Penerapan Model SARIMA untuk Memprediksi Tingkat Inflasi di Indonesia,” </w:t>
      </w:r>
      <w:r w:rsidRPr="009622A3">
        <w:rPr>
          <w:i/>
          <w:iCs/>
          <w:noProof/>
          <w:sz w:val="16"/>
          <w:szCs w:val="24"/>
        </w:rPr>
        <w:t>J. Sains Mat. dan Stat.</w:t>
      </w:r>
      <w:r w:rsidRPr="009622A3">
        <w:rPr>
          <w:noProof/>
          <w:sz w:val="16"/>
          <w:szCs w:val="24"/>
        </w:rPr>
        <w:t>, vol. 7, no. 2, pp. 62–72, 2021, doi: 10.24014/jsms.v7i2.13168.</w:t>
      </w:r>
    </w:p>
    <w:p w14:paraId="3613A3A4"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[19]</w:t>
      </w:r>
      <w:r w:rsidRPr="009622A3">
        <w:rPr>
          <w:noProof/>
          <w:sz w:val="16"/>
          <w:szCs w:val="24"/>
        </w:rPr>
        <w:tab/>
        <w:t xml:space="preserve">H. Harafani and R. S. Wahono, “Optimasi Parameter pada Support Vector Machine Berbasis Algoritma Genetika untuk Estimasi Kebakaran Hutan,” </w:t>
      </w:r>
      <w:r w:rsidRPr="009622A3">
        <w:rPr>
          <w:i/>
          <w:iCs/>
          <w:noProof/>
          <w:sz w:val="16"/>
          <w:szCs w:val="24"/>
        </w:rPr>
        <w:t>J. Intell. Syst.</w:t>
      </w:r>
      <w:r w:rsidRPr="009622A3">
        <w:rPr>
          <w:noProof/>
          <w:sz w:val="16"/>
          <w:szCs w:val="24"/>
        </w:rPr>
        <w:t>, vol. 1, no. 2, pp. 82–90, 2015.</w:t>
      </w:r>
    </w:p>
    <w:p w14:paraId="2A799A87"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[20]</w:t>
      </w:r>
      <w:r w:rsidRPr="009622A3">
        <w:rPr>
          <w:noProof/>
          <w:sz w:val="16"/>
          <w:szCs w:val="24"/>
        </w:rPr>
        <w:tab/>
        <w:t xml:space="preserve">B. H. Saharjo and M. R. A. Nasution, “Pola Sebaran Titik Panas (Hotspot) Sebagai Indikator Terjadinya Kebakaran Hutan Dan Lahan Di Kabupaten Aceh Barat,” </w:t>
      </w:r>
      <w:r w:rsidRPr="009622A3">
        <w:rPr>
          <w:i/>
          <w:iCs/>
          <w:noProof/>
          <w:sz w:val="16"/>
          <w:szCs w:val="24"/>
        </w:rPr>
        <w:t>J. Silvikultur Trop.</w:t>
      </w:r>
      <w:r w:rsidRPr="009622A3">
        <w:rPr>
          <w:noProof/>
          <w:sz w:val="16"/>
          <w:szCs w:val="24"/>
        </w:rPr>
        <w:t>, vol. 12, no. 2, pp. 60–66, 2021, [Online]. Available: http://tanahair.indonesia.go.id/</w:t>
      </w:r>
    </w:p>
    <w:p w14:paraId="1629FF9E"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[21]</w:t>
      </w:r>
      <w:r w:rsidRPr="009622A3">
        <w:rPr>
          <w:noProof/>
          <w:sz w:val="16"/>
          <w:szCs w:val="24"/>
        </w:rPr>
        <w:tab/>
        <w:t xml:space="preserve">Putra, E. Heryanto, A. Sopaheluwakan, R. P. Pradana, and U. Haryoko, “Sebaran Spasial Dan Temporal Titik Panas (Hotspot) Di Indonesia Dari Satelit Modis Dengan Metode Gridding,” </w:t>
      </w:r>
      <w:r w:rsidRPr="009622A3">
        <w:rPr>
          <w:i/>
          <w:iCs/>
          <w:noProof/>
          <w:sz w:val="16"/>
          <w:szCs w:val="24"/>
        </w:rPr>
        <w:t>Semin. Nas. Geomatika</w:t>
      </w:r>
      <w:r w:rsidRPr="009622A3">
        <w:rPr>
          <w:noProof/>
          <w:sz w:val="16"/>
          <w:szCs w:val="24"/>
        </w:rPr>
        <w:t>, no. 3, pp. 1123–1128, 2019, [Online]. Available: https://scholar.google.co.id/scholar?oi=bibs&amp;cluster=3216153241389431135&amp;btnI=1&amp;hl=id</w:t>
      </w:r>
    </w:p>
    <w:p w14:paraId="64400A51"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[22]</w:t>
      </w:r>
      <w:r w:rsidRPr="009622A3">
        <w:rPr>
          <w:noProof/>
          <w:sz w:val="16"/>
          <w:szCs w:val="24"/>
        </w:rPr>
        <w:tab/>
        <w:t xml:space="preserve">H. Sastypratiwi and R. D. Nyoto, “Analisis Data Artikel Sistem Pakar Menggunakan Metode Systematic Review,” </w:t>
      </w:r>
      <w:r w:rsidRPr="009622A3">
        <w:rPr>
          <w:i/>
          <w:iCs/>
          <w:noProof/>
          <w:sz w:val="16"/>
          <w:szCs w:val="24"/>
        </w:rPr>
        <w:t>J. Edukasi dan Penelit. Inform.</w:t>
      </w:r>
      <w:r w:rsidRPr="009622A3">
        <w:rPr>
          <w:noProof/>
          <w:sz w:val="16"/>
          <w:szCs w:val="24"/>
        </w:rPr>
        <w:t>, vol. 6, no. 2, p. 250, 2020, doi: 10.26418/jp.v6i2.40914.</w:t>
      </w:r>
    </w:p>
    <w:p w14:paraId="07D8AEEE"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[23]</w:t>
      </w:r>
      <w:r w:rsidRPr="009622A3">
        <w:rPr>
          <w:noProof/>
          <w:sz w:val="16"/>
          <w:szCs w:val="24"/>
        </w:rPr>
        <w:tab/>
        <w:t xml:space="preserve">W. Pangestu, A. Widodo, and B. Rahayudi, “Prediksi Jumlah Kendaraan Bermotor di Indonesia Menggunakan Metode Average-Based Fuzzy Time Series Models,” </w:t>
      </w:r>
      <w:r w:rsidRPr="009622A3">
        <w:rPr>
          <w:i/>
          <w:iCs/>
          <w:noProof/>
          <w:sz w:val="16"/>
          <w:szCs w:val="24"/>
        </w:rPr>
        <w:t>J. Pengemb. Teknol. Inf. dan Ilmu Komput.</w:t>
      </w:r>
      <w:r w:rsidRPr="009622A3">
        <w:rPr>
          <w:noProof/>
          <w:sz w:val="16"/>
          <w:szCs w:val="24"/>
        </w:rPr>
        <w:t>, vol. 2, no. 9, p. 964, 2018.</w:t>
      </w:r>
    </w:p>
    <w:p w14:paraId="1EBB8A59"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[24]</w:t>
      </w:r>
      <w:r w:rsidRPr="009622A3">
        <w:rPr>
          <w:noProof/>
          <w:sz w:val="16"/>
          <w:szCs w:val="24"/>
        </w:rPr>
        <w:tab/>
        <w:t xml:space="preserve">T. Safitri, N. Dwidayati, and K. Kunci, “Perbandingan Peramalan Menggunakan Metode Exponential Smoothing Holt-Winters dan Arima,” </w:t>
      </w:r>
      <w:r w:rsidRPr="009622A3">
        <w:rPr>
          <w:i/>
          <w:iCs/>
          <w:noProof/>
          <w:sz w:val="16"/>
          <w:szCs w:val="24"/>
        </w:rPr>
        <w:t>Unnes J. Math.</w:t>
      </w:r>
      <w:r w:rsidRPr="009622A3">
        <w:rPr>
          <w:noProof/>
          <w:sz w:val="16"/>
          <w:szCs w:val="24"/>
        </w:rPr>
        <w:t>, vol. 6, no. 1, pp. 48–58, 2017, [Online]. Available: http://journal.unnes.ac.id/sju/index.php/ujm</w:t>
      </w:r>
    </w:p>
    <w:p w14:paraId="1BB7406A"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[25]</w:t>
      </w:r>
      <w:r w:rsidRPr="009622A3">
        <w:rPr>
          <w:noProof/>
          <w:sz w:val="16"/>
          <w:szCs w:val="24"/>
        </w:rPr>
        <w:tab/>
        <w:t xml:space="preserve">G. Christie, D. Hatidja, and R. Tumilaar, “Penerapan Metode SARIMA dalam Model Intervensi Fungsi Step untuk Memprediksi Jumlah Pegunjung Objek Wisata Londa (Application of the SARIMA Method in the Step Function Intervention to Predict the Number of Visitors at Londa Tourism Object),” </w:t>
      </w:r>
      <w:r w:rsidRPr="009622A3">
        <w:rPr>
          <w:i/>
          <w:iCs/>
          <w:noProof/>
          <w:sz w:val="16"/>
          <w:szCs w:val="24"/>
        </w:rPr>
        <w:t>J. Ilm. Sains</w:t>
      </w:r>
      <w:r w:rsidRPr="009622A3">
        <w:rPr>
          <w:noProof/>
          <w:sz w:val="16"/>
          <w:szCs w:val="24"/>
        </w:rPr>
        <w:t>, vol. 22, no. 2, p. 96, 2022, doi: 10.35799/jis.v22i2.40961.</w:t>
      </w:r>
    </w:p>
    <w:p w14:paraId="602EF24E"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[26]</w:t>
      </w:r>
      <w:r w:rsidRPr="009622A3">
        <w:rPr>
          <w:noProof/>
          <w:sz w:val="16"/>
          <w:szCs w:val="24"/>
        </w:rPr>
        <w:tab/>
        <w:t xml:space="preserve">O. A. Amalia and A. H. M. Putri, “Comparison of backpropagation artificial neural network and SARIMA in predicting the number of railway passengers,” </w:t>
      </w:r>
      <w:r w:rsidRPr="009622A3">
        <w:rPr>
          <w:i/>
          <w:iCs/>
          <w:noProof/>
          <w:sz w:val="16"/>
          <w:szCs w:val="24"/>
        </w:rPr>
        <w:t>J. Phys. Conf. Ser.</w:t>
      </w:r>
      <w:r w:rsidRPr="009622A3">
        <w:rPr>
          <w:noProof/>
          <w:sz w:val="16"/>
          <w:szCs w:val="24"/>
        </w:rPr>
        <w:t>, vol. 1663, no. 1, 2020, doi: 10.1088/1742-6596/1663/1/012033.</w:t>
      </w:r>
    </w:p>
    <w:p w14:paraId="04128556"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[27]</w:t>
      </w:r>
      <w:r w:rsidRPr="009622A3">
        <w:rPr>
          <w:noProof/>
          <w:sz w:val="16"/>
          <w:szCs w:val="24"/>
        </w:rPr>
        <w:tab/>
        <w:t>W. Anbiya and F. C. Garini, “Application of GARCH Forecasting Method in Predicting The Number of Rail Passengers ( Thousands of People ) in Jabodetabek Region,” vol. 18, no. 2, pp. 198–223, 2022, doi: 10.20956/j.v18i2.18382.</w:t>
      </w:r>
    </w:p>
    <w:p w14:paraId="5591F667"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[28]</w:t>
      </w:r>
      <w:r w:rsidRPr="009622A3">
        <w:rPr>
          <w:noProof/>
          <w:sz w:val="16"/>
          <w:szCs w:val="24"/>
        </w:rPr>
        <w:tab/>
        <w:t>S. Faradilla, “Peramalan Penjualan Produk Baja dan Besi di PT MSU dengan Pendekatan Metode ARIMA dan Single Moving Average,” vol. 12, no. 1, 2023.</w:t>
      </w:r>
    </w:p>
    <w:p w14:paraId="5BA6B62B" w14:textId="77777777" w:rsidR="009622A3" w:rsidRPr="009622A3" w:rsidRDefault="00000000" w:rsidP="009622A3">
      <w:pPr>
        <w:autoSpaceDE w:val="0"/>
        <w:autoSpaceDN w:val="0"/>
        <w:adjustRightInd w:val="0"/>
        <w:ind w:left="640" w:hanging="640"/>
        <w:jc w:val="both"/>
        <w:rPr>
          <w:noProof/>
          <w:sz w:val="16"/>
          <w:szCs w:val="24"/>
        </w:rPr>
      </w:pPr>
      <w:r w:rsidRPr="009622A3">
        <w:rPr>
          <w:noProof/>
          <w:sz w:val="16"/>
          <w:szCs w:val="24"/>
        </w:rPr>
        <w:t>[29]</w:t>
      </w:r>
      <w:r w:rsidRPr="009622A3">
        <w:rPr>
          <w:noProof/>
          <w:sz w:val="16"/>
          <w:szCs w:val="24"/>
        </w:rPr>
        <w:tab/>
        <w:t>A. Sinardi and R. D. E. Putra, “Prediksi Awal Musim Hujan Di Waingapu Menggunakan Metode ARIMA,” vol. 01, pp. 1–6, 2020.</w:t>
      </w:r>
    </w:p>
    <w:p w14:paraId="25A766EA" w14:textId="77777777" w:rsidR="009622A3" w:rsidRPr="009622A3" w:rsidRDefault="00000000" w:rsidP="009622A3">
      <w:pPr>
        <w:autoSpaceDE w:val="0"/>
        <w:autoSpaceDN w:val="0"/>
        <w:adjustRightInd w:val="0"/>
        <w:ind w:left="640" w:hanging="640"/>
        <w:jc w:val="both"/>
        <w:rPr>
          <w:noProof/>
          <w:sz w:val="16"/>
        </w:rPr>
      </w:pPr>
      <w:r w:rsidRPr="009622A3">
        <w:rPr>
          <w:noProof/>
          <w:sz w:val="16"/>
          <w:szCs w:val="24"/>
        </w:rPr>
        <w:t>[30]</w:t>
      </w:r>
      <w:r w:rsidRPr="009622A3">
        <w:rPr>
          <w:noProof/>
          <w:sz w:val="16"/>
          <w:szCs w:val="24"/>
        </w:rPr>
        <w:tab/>
        <w:t xml:space="preserve">H. Djoni, “Penerapan Model ARIMA untuk Memprediksi Harga Saham PT. Telkom Tbk.,” </w:t>
      </w:r>
      <w:r w:rsidRPr="009622A3">
        <w:rPr>
          <w:i/>
          <w:iCs/>
          <w:noProof/>
          <w:sz w:val="16"/>
          <w:szCs w:val="24"/>
        </w:rPr>
        <w:t>J. Ilm. Sains</w:t>
      </w:r>
      <w:r w:rsidRPr="009622A3">
        <w:rPr>
          <w:noProof/>
          <w:sz w:val="16"/>
          <w:szCs w:val="24"/>
        </w:rPr>
        <w:t>, vol. 11, no. 1, pp. 116–123, 2011.</w:t>
      </w:r>
    </w:p>
    <w:p w14:paraId="2223E9F0" w14:textId="77777777" w:rsidR="00E33254" w:rsidRPr="00E33254" w:rsidRDefault="00000000" w:rsidP="00E33254">
      <w:r>
        <w:fldChar w:fldCharType="end"/>
      </w:r>
    </w:p>
    <w:p w14:paraId="56D2683D" w14:textId="77777777" w:rsidR="00914DE2" w:rsidRDefault="00914DE2">
      <w:pPr>
        <w:spacing w:after="50"/>
        <w:ind w:left="360" w:hanging="360"/>
        <w:jc w:val="both"/>
        <w:rPr>
          <w:sz w:val="16"/>
          <w:szCs w:val="16"/>
        </w:rPr>
        <w:sectPr w:rsidR="00914DE2">
          <w:type w:val="continuous"/>
          <w:pgSz w:w="11909" w:h="16834"/>
          <w:pgMar w:top="1080" w:right="734" w:bottom="2434" w:left="734" w:header="0" w:footer="720" w:gutter="0"/>
          <w:cols w:num="2" w:space="720" w:equalWidth="0">
            <w:col w:w="5040" w:space="360"/>
            <w:col w:w="5040" w:space="0"/>
          </w:cols>
        </w:sectPr>
      </w:pPr>
    </w:p>
    <w:p w14:paraId="60F5D402" w14:textId="77777777" w:rsidR="00914DE2" w:rsidRDefault="00914DE2">
      <w:pPr>
        <w:jc w:val="both"/>
      </w:pPr>
    </w:p>
    <w:p w14:paraId="51D3477D" w14:textId="77777777"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E8A23" w14:textId="77777777" w:rsidR="009469CD" w:rsidRDefault="009469CD">
      <w:r>
        <w:separator/>
      </w:r>
    </w:p>
  </w:endnote>
  <w:endnote w:type="continuationSeparator" w:id="0">
    <w:p w14:paraId="337B5B0A" w14:textId="77777777" w:rsidR="009469CD" w:rsidRDefault="0094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943058" w14:paraId="5D3E9E7C" w14:textId="77777777" w:rsidTr="00AE59FB">
      <w:tc>
        <w:tcPr>
          <w:tcW w:w="10657" w:type="dxa"/>
        </w:tcPr>
        <w:p w14:paraId="03DD5626" w14:textId="77777777" w:rsidR="00B96A17" w:rsidRDefault="00000000" w:rsidP="00B96A17">
          <w:pPr>
            <w:pStyle w:val="Footer"/>
            <w:tabs>
              <w:tab w:val="left" w:pos="851"/>
            </w:tabs>
          </w:pPr>
          <w:r>
            <w:rPr>
              <w:noProof/>
            </w:rPr>
            <mc:AlternateContent>
              <mc:Choice Requires="wps">
                <w:drawing>
                  <wp:anchor distT="0" distB="0" distL="114300" distR="114300" simplePos="0" relativeHeight="251657216" behindDoc="0" locked="0" layoutInCell="1" allowOverlap="1" wp14:anchorId="05E24F07" wp14:editId="55FE7FD5">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2051" type="#_x0000_t32" style="width:521.25pt;height:0;margin-top:-15.6pt;margin-left:0.05pt;mso-height-percent:0;mso-height-relative:page;mso-width-percent:0;mso-width-relative:page;mso-wrap-distance-bottom:0;mso-wrap-distance-left:9pt;mso-wrap-distance-right:9pt;mso-wrap-distance-top:0;mso-wrap-style:square;position:absolute;visibility:visible;z-index:251659264" strokeweight="1.5pt"/>
                </w:pict>
              </mc:Fallback>
            </mc:AlternateContent>
          </w:r>
          <w:r>
            <w:rPr>
              <w:noProof/>
            </w:rPr>
            <mc:AlternateContent>
              <mc:Choice Requires="wps">
                <w:drawing>
                  <wp:anchor distT="0" distB="0" distL="114300" distR="114300" simplePos="0" relativeHeight="251659264" behindDoc="0" locked="0" layoutInCell="1" allowOverlap="1" wp14:anchorId="1F7AE260" wp14:editId="484B481A">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2052" type="#_x0000_t32" style="width:521.25pt;height:0;margin-top:-13.35pt;margin-left:0.05pt;mso-height-percent:0;mso-height-relative:page;mso-width-percent:0;mso-width-relative:page;mso-wrap-distance-bottom:0;mso-wrap-distance-left:9pt;mso-wrap-distance-right:9pt;mso-wrap-distance-top:0;mso-wrap-style:square;position:absolute;visibility:visible;z-index:251661312"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943058" w14:paraId="73AC6F66" w14:textId="77777777" w:rsidTr="00AE59FB">
      <w:tc>
        <w:tcPr>
          <w:tcW w:w="10657" w:type="dxa"/>
        </w:tcPr>
        <w:p w14:paraId="4652DB1B" w14:textId="77777777" w:rsidR="00B96A17" w:rsidRDefault="00000000" w:rsidP="00AE59FB">
          <w:pPr>
            <w:pStyle w:val="Footer"/>
            <w:tabs>
              <w:tab w:val="left" w:pos="851"/>
            </w:tabs>
          </w:pPr>
          <w:r>
            <w:rPr>
              <w:sz w:val="22"/>
            </w:rPr>
            <w:t>DOI : 10.32736/sisfokom.</w:t>
          </w:r>
          <w:r w:rsidR="00AE59FB">
            <w:rPr>
              <w:sz w:val="22"/>
            </w:rPr>
            <w:t>xx.xx</w:t>
          </w:r>
          <w:r>
            <w:rPr>
              <w:sz w:val="22"/>
            </w:rPr>
            <w:t>, Copyright ©2020</w:t>
          </w:r>
        </w:p>
      </w:tc>
    </w:tr>
    <w:tr w:rsidR="00943058" w14:paraId="18F3BCDE" w14:textId="77777777" w:rsidTr="00AE59FB">
      <w:tc>
        <w:tcPr>
          <w:tcW w:w="10657" w:type="dxa"/>
        </w:tcPr>
        <w:p w14:paraId="393A9F08" w14:textId="77777777" w:rsidR="00AE59FB" w:rsidRDefault="00000000"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14:paraId="59A144A6" w14:textId="77777777" w:rsidR="003C549E" w:rsidRDefault="00000000" w:rsidP="003C549E">
        <w:pPr>
          <w:pStyle w:val="Footer"/>
          <w:jc w:val="right"/>
        </w:pPr>
        <w:r>
          <w:fldChar w:fldCharType="begin"/>
        </w:r>
        <w:r>
          <w:instrText xml:space="preserve"> PAGE   \* MERGEFORMAT </w:instrText>
        </w:r>
        <w:r>
          <w:fldChar w:fldCharType="separate"/>
        </w:r>
        <w:r w:rsidR="00430AE5">
          <w:rPr>
            <w:noProof/>
          </w:rPr>
          <w:t>4</w:t>
        </w:r>
        <w:r>
          <w:rPr>
            <w:noProof/>
          </w:rPr>
          <w:fldChar w:fldCharType="end"/>
        </w:r>
      </w:p>
    </w:sdtContent>
  </w:sdt>
  <w:p w14:paraId="1AD37065" w14:textId="77777777" w:rsidR="003C549E" w:rsidRDefault="003C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15441" w14:textId="77777777" w:rsidR="009469CD" w:rsidRDefault="009469CD">
      <w:r>
        <w:separator/>
      </w:r>
    </w:p>
  </w:footnote>
  <w:footnote w:type="continuationSeparator" w:id="0">
    <w:p w14:paraId="2A76BF74" w14:textId="77777777" w:rsidR="009469CD" w:rsidRDefault="00946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7F36" w14:textId="77777777" w:rsidR="003C549E" w:rsidRDefault="003C549E" w:rsidP="003C549E">
    <w:pPr>
      <w:pStyle w:val="Header"/>
    </w:pPr>
  </w:p>
  <w:p w14:paraId="4717FB94" w14:textId="77777777" w:rsidR="003C549E" w:rsidRDefault="003C549E" w:rsidP="003C549E">
    <w:pPr>
      <w:pStyle w:val="Header"/>
    </w:pPr>
  </w:p>
  <w:p w14:paraId="7E1B491C" w14:textId="77777777" w:rsidR="003C549E" w:rsidRPr="001876E2" w:rsidRDefault="00000000"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14:paraId="77D0AA09" w14:textId="77777777" w:rsidR="003C549E" w:rsidRDefault="00000000" w:rsidP="003C549E">
    <w:pPr>
      <w:pStyle w:val="Header"/>
    </w:pPr>
    <w:r>
      <w:rPr>
        <w:noProof/>
      </w:rPr>
      <mc:AlternateContent>
        <mc:Choice Requires="wps">
          <w:drawing>
            <wp:anchor distT="0" distB="0" distL="114300" distR="114300" simplePos="0" relativeHeight="251656192" behindDoc="0" locked="0" layoutInCell="1" allowOverlap="1" wp14:anchorId="71CBB067" wp14:editId="2E3B5AFA">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2049" type="#_x0000_t32" style="width:521.25pt;height:0;margin-top:9.5pt;margin-left:0.05pt;mso-height-percent:0;mso-height-relative:page;mso-width-percent:0;mso-width-relative:page;mso-wrap-distance-bottom:0;mso-wrap-distance-left:9pt;mso-wrap-distance-right:9pt;mso-wrap-distance-top:0;mso-wrap-style:square;position:absolute;visibility:visible;z-index:251659264" strokeweight="1.5pt"/>
          </w:pict>
        </mc:Fallback>
      </mc:AlternateContent>
    </w:r>
    <w:r>
      <w:rPr>
        <w:noProof/>
      </w:rPr>
      <mc:AlternateContent>
        <mc:Choice Requires="wps">
          <w:drawing>
            <wp:anchor distT="0" distB="0" distL="114300" distR="114300" simplePos="0" relativeHeight="251658240" behindDoc="0" locked="0" layoutInCell="1" allowOverlap="1" wp14:anchorId="361DF087" wp14:editId="35A13E5D">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2050" type="#_x0000_t32" style="width:521.25pt;height:0;margin-top:11.75pt;margin-left:0.05pt;mso-height-percent:0;mso-height-relative:page;mso-width-percent:0;mso-width-relative:page;mso-wrap-distance-bottom:0;mso-wrap-distance-left:9pt;mso-wrap-distance-right:9pt;mso-wrap-distance-top:0;mso-wrap-style:square;position:absolute;visibility:visible;z-index:251661312" strokeweight="1.5pt"/>
          </w:pict>
        </mc:Fallback>
      </mc:AlternateContent>
    </w:r>
  </w:p>
  <w:p w14:paraId="1B1806A5" w14:textId="77777777" w:rsidR="003C549E" w:rsidRDefault="003C5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A23"/>
    <w:multiLevelType w:val="hybridMultilevel"/>
    <w:tmpl w:val="0666BB88"/>
    <w:lvl w:ilvl="0" w:tplc="9F24B9CC">
      <w:start w:val="1"/>
      <w:numFmt w:val="lowerLetter"/>
      <w:lvlText w:val="%1)"/>
      <w:lvlJc w:val="left"/>
      <w:pPr>
        <w:ind w:left="1080" w:hanging="360"/>
      </w:pPr>
    </w:lvl>
    <w:lvl w:ilvl="1" w:tplc="70829C8E" w:tentative="1">
      <w:start w:val="1"/>
      <w:numFmt w:val="lowerLetter"/>
      <w:lvlText w:val="%2."/>
      <w:lvlJc w:val="left"/>
      <w:pPr>
        <w:ind w:left="1800" w:hanging="360"/>
      </w:pPr>
    </w:lvl>
    <w:lvl w:ilvl="2" w:tplc="832E049A" w:tentative="1">
      <w:start w:val="1"/>
      <w:numFmt w:val="lowerRoman"/>
      <w:lvlText w:val="%3."/>
      <w:lvlJc w:val="right"/>
      <w:pPr>
        <w:ind w:left="2520" w:hanging="180"/>
      </w:pPr>
    </w:lvl>
    <w:lvl w:ilvl="3" w:tplc="D8D2A40E" w:tentative="1">
      <w:start w:val="1"/>
      <w:numFmt w:val="decimal"/>
      <w:lvlText w:val="%4."/>
      <w:lvlJc w:val="left"/>
      <w:pPr>
        <w:ind w:left="3240" w:hanging="360"/>
      </w:pPr>
    </w:lvl>
    <w:lvl w:ilvl="4" w:tplc="5082DCDA" w:tentative="1">
      <w:start w:val="1"/>
      <w:numFmt w:val="lowerLetter"/>
      <w:lvlText w:val="%5."/>
      <w:lvlJc w:val="left"/>
      <w:pPr>
        <w:ind w:left="3960" w:hanging="360"/>
      </w:pPr>
    </w:lvl>
    <w:lvl w:ilvl="5" w:tplc="24D8D598" w:tentative="1">
      <w:start w:val="1"/>
      <w:numFmt w:val="lowerRoman"/>
      <w:lvlText w:val="%6."/>
      <w:lvlJc w:val="right"/>
      <w:pPr>
        <w:ind w:left="4680" w:hanging="180"/>
      </w:pPr>
    </w:lvl>
    <w:lvl w:ilvl="6" w:tplc="9F46E8E2" w:tentative="1">
      <w:start w:val="1"/>
      <w:numFmt w:val="decimal"/>
      <w:lvlText w:val="%7."/>
      <w:lvlJc w:val="left"/>
      <w:pPr>
        <w:ind w:left="5400" w:hanging="360"/>
      </w:pPr>
    </w:lvl>
    <w:lvl w:ilvl="7" w:tplc="A82C49F4" w:tentative="1">
      <w:start w:val="1"/>
      <w:numFmt w:val="lowerLetter"/>
      <w:lvlText w:val="%8."/>
      <w:lvlJc w:val="left"/>
      <w:pPr>
        <w:ind w:left="6120" w:hanging="360"/>
      </w:pPr>
    </w:lvl>
    <w:lvl w:ilvl="8" w:tplc="9C8E7AE0" w:tentative="1">
      <w:start w:val="1"/>
      <w:numFmt w:val="lowerRoman"/>
      <w:lvlText w:val="%9."/>
      <w:lvlJc w:val="right"/>
      <w:pPr>
        <w:ind w:left="6840" w:hanging="180"/>
      </w:pPr>
    </w:lvl>
  </w:abstractNum>
  <w:abstractNum w:abstractNumId="1" w15:restartNumberingAfterBreak="0">
    <w:nsid w:val="09EA109E"/>
    <w:multiLevelType w:val="hybridMultilevel"/>
    <w:tmpl w:val="2F508F10"/>
    <w:lvl w:ilvl="0" w:tplc="7430CC42">
      <w:start w:val="1"/>
      <w:numFmt w:val="decimal"/>
      <w:lvlText w:val="%1)"/>
      <w:lvlJc w:val="left"/>
      <w:pPr>
        <w:ind w:left="720" w:hanging="360"/>
      </w:pPr>
      <w:rPr>
        <w:i w:val="0"/>
        <w:iCs w:val="0"/>
      </w:rPr>
    </w:lvl>
    <w:lvl w:ilvl="1" w:tplc="9ED6296E" w:tentative="1">
      <w:start w:val="1"/>
      <w:numFmt w:val="lowerLetter"/>
      <w:lvlText w:val="%2."/>
      <w:lvlJc w:val="left"/>
      <w:pPr>
        <w:ind w:left="1440" w:hanging="360"/>
      </w:pPr>
    </w:lvl>
    <w:lvl w:ilvl="2" w:tplc="EA683E80" w:tentative="1">
      <w:start w:val="1"/>
      <w:numFmt w:val="lowerRoman"/>
      <w:lvlText w:val="%3."/>
      <w:lvlJc w:val="right"/>
      <w:pPr>
        <w:ind w:left="2160" w:hanging="180"/>
      </w:pPr>
    </w:lvl>
    <w:lvl w:ilvl="3" w:tplc="3A1CA874" w:tentative="1">
      <w:start w:val="1"/>
      <w:numFmt w:val="decimal"/>
      <w:lvlText w:val="%4."/>
      <w:lvlJc w:val="left"/>
      <w:pPr>
        <w:ind w:left="2880" w:hanging="360"/>
      </w:pPr>
    </w:lvl>
    <w:lvl w:ilvl="4" w:tplc="1C7E70B6" w:tentative="1">
      <w:start w:val="1"/>
      <w:numFmt w:val="lowerLetter"/>
      <w:lvlText w:val="%5."/>
      <w:lvlJc w:val="left"/>
      <w:pPr>
        <w:ind w:left="3600" w:hanging="360"/>
      </w:pPr>
    </w:lvl>
    <w:lvl w:ilvl="5" w:tplc="5C244DF6" w:tentative="1">
      <w:start w:val="1"/>
      <w:numFmt w:val="lowerRoman"/>
      <w:lvlText w:val="%6."/>
      <w:lvlJc w:val="right"/>
      <w:pPr>
        <w:ind w:left="4320" w:hanging="180"/>
      </w:pPr>
    </w:lvl>
    <w:lvl w:ilvl="6" w:tplc="472E0476" w:tentative="1">
      <w:start w:val="1"/>
      <w:numFmt w:val="decimal"/>
      <w:lvlText w:val="%7."/>
      <w:lvlJc w:val="left"/>
      <w:pPr>
        <w:ind w:left="5040" w:hanging="360"/>
      </w:pPr>
    </w:lvl>
    <w:lvl w:ilvl="7" w:tplc="97C29652" w:tentative="1">
      <w:start w:val="1"/>
      <w:numFmt w:val="lowerLetter"/>
      <w:lvlText w:val="%8."/>
      <w:lvlJc w:val="left"/>
      <w:pPr>
        <w:ind w:left="5760" w:hanging="360"/>
      </w:pPr>
    </w:lvl>
    <w:lvl w:ilvl="8" w:tplc="34261204" w:tentative="1">
      <w:start w:val="1"/>
      <w:numFmt w:val="lowerRoman"/>
      <w:lvlText w:val="%9."/>
      <w:lvlJc w:val="right"/>
      <w:pPr>
        <w:ind w:left="6480" w:hanging="180"/>
      </w:pPr>
    </w:lvl>
  </w:abstractNum>
  <w:abstractNum w:abstractNumId="2" w15:restartNumberingAfterBreak="0">
    <w:nsid w:val="0D9F301A"/>
    <w:multiLevelType w:val="hybridMultilevel"/>
    <w:tmpl w:val="E64C93FA"/>
    <w:lvl w:ilvl="0" w:tplc="6B02C972">
      <w:start w:val="1"/>
      <w:numFmt w:val="decimal"/>
      <w:lvlText w:val="%1)"/>
      <w:lvlJc w:val="left"/>
      <w:pPr>
        <w:ind w:left="720" w:hanging="360"/>
      </w:pPr>
    </w:lvl>
    <w:lvl w:ilvl="1" w:tplc="A48C1916" w:tentative="1">
      <w:start w:val="1"/>
      <w:numFmt w:val="lowerLetter"/>
      <w:lvlText w:val="%2."/>
      <w:lvlJc w:val="left"/>
      <w:pPr>
        <w:ind w:left="1440" w:hanging="360"/>
      </w:pPr>
    </w:lvl>
    <w:lvl w:ilvl="2" w:tplc="D3AC287E" w:tentative="1">
      <w:start w:val="1"/>
      <w:numFmt w:val="lowerRoman"/>
      <w:lvlText w:val="%3."/>
      <w:lvlJc w:val="right"/>
      <w:pPr>
        <w:ind w:left="2160" w:hanging="180"/>
      </w:pPr>
    </w:lvl>
    <w:lvl w:ilvl="3" w:tplc="E3689FCE" w:tentative="1">
      <w:start w:val="1"/>
      <w:numFmt w:val="decimal"/>
      <w:lvlText w:val="%4."/>
      <w:lvlJc w:val="left"/>
      <w:pPr>
        <w:ind w:left="2880" w:hanging="360"/>
      </w:pPr>
    </w:lvl>
    <w:lvl w:ilvl="4" w:tplc="42E0F8A4" w:tentative="1">
      <w:start w:val="1"/>
      <w:numFmt w:val="lowerLetter"/>
      <w:lvlText w:val="%5."/>
      <w:lvlJc w:val="left"/>
      <w:pPr>
        <w:ind w:left="3600" w:hanging="360"/>
      </w:pPr>
    </w:lvl>
    <w:lvl w:ilvl="5" w:tplc="771E1FD0" w:tentative="1">
      <w:start w:val="1"/>
      <w:numFmt w:val="lowerRoman"/>
      <w:lvlText w:val="%6."/>
      <w:lvlJc w:val="right"/>
      <w:pPr>
        <w:ind w:left="4320" w:hanging="180"/>
      </w:pPr>
    </w:lvl>
    <w:lvl w:ilvl="6" w:tplc="C71E4C70" w:tentative="1">
      <w:start w:val="1"/>
      <w:numFmt w:val="decimal"/>
      <w:lvlText w:val="%7."/>
      <w:lvlJc w:val="left"/>
      <w:pPr>
        <w:ind w:left="5040" w:hanging="360"/>
      </w:pPr>
    </w:lvl>
    <w:lvl w:ilvl="7" w:tplc="F1643488" w:tentative="1">
      <w:start w:val="1"/>
      <w:numFmt w:val="lowerLetter"/>
      <w:lvlText w:val="%8."/>
      <w:lvlJc w:val="left"/>
      <w:pPr>
        <w:ind w:left="5760" w:hanging="360"/>
      </w:pPr>
    </w:lvl>
    <w:lvl w:ilvl="8" w:tplc="C40A262A" w:tentative="1">
      <w:start w:val="1"/>
      <w:numFmt w:val="lowerRoman"/>
      <w:lvlText w:val="%9."/>
      <w:lvlJc w:val="right"/>
      <w:pPr>
        <w:ind w:left="6480" w:hanging="180"/>
      </w:pPr>
    </w:lvl>
  </w:abstractNum>
  <w:abstractNum w:abstractNumId="3"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5" w15:restartNumberingAfterBreak="0">
    <w:nsid w:val="1C017BFC"/>
    <w:multiLevelType w:val="hybridMultilevel"/>
    <w:tmpl w:val="11F43446"/>
    <w:lvl w:ilvl="0" w:tplc="3DD2F198">
      <w:start w:val="1"/>
      <w:numFmt w:val="decimal"/>
      <w:lvlText w:val="%1)"/>
      <w:lvlJc w:val="left"/>
      <w:pPr>
        <w:ind w:left="1008" w:hanging="360"/>
      </w:pPr>
    </w:lvl>
    <w:lvl w:ilvl="1" w:tplc="D34CA8E0" w:tentative="1">
      <w:start w:val="1"/>
      <w:numFmt w:val="lowerLetter"/>
      <w:lvlText w:val="%2."/>
      <w:lvlJc w:val="left"/>
      <w:pPr>
        <w:ind w:left="1728" w:hanging="360"/>
      </w:pPr>
    </w:lvl>
    <w:lvl w:ilvl="2" w:tplc="2F30B52A" w:tentative="1">
      <w:start w:val="1"/>
      <w:numFmt w:val="lowerRoman"/>
      <w:lvlText w:val="%3."/>
      <w:lvlJc w:val="right"/>
      <w:pPr>
        <w:ind w:left="2448" w:hanging="180"/>
      </w:pPr>
    </w:lvl>
    <w:lvl w:ilvl="3" w:tplc="7BEC9ED2" w:tentative="1">
      <w:start w:val="1"/>
      <w:numFmt w:val="decimal"/>
      <w:lvlText w:val="%4."/>
      <w:lvlJc w:val="left"/>
      <w:pPr>
        <w:ind w:left="3168" w:hanging="360"/>
      </w:pPr>
    </w:lvl>
    <w:lvl w:ilvl="4" w:tplc="509E37B6" w:tentative="1">
      <w:start w:val="1"/>
      <w:numFmt w:val="lowerLetter"/>
      <w:lvlText w:val="%5."/>
      <w:lvlJc w:val="left"/>
      <w:pPr>
        <w:ind w:left="3888" w:hanging="360"/>
      </w:pPr>
    </w:lvl>
    <w:lvl w:ilvl="5" w:tplc="9DFEB50E" w:tentative="1">
      <w:start w:val="1"/>
      <w:numFmt w:val="lowerRoman"/>
      <w:lvlText w:val="%6."/>
      <w:lvlJc w:val="right"/>
      <w:pPr>
        <w:ind w:left="4608" w:hanging="180"/>
      </w:pPr>
    </w:lvl>
    <w:lvl w:ilvl="6" w:tplc="637ABB3E" w:tentative="1">
      <w:start w:val="1"/>
      <w:numFmt w:val="decimal"/>
      <w:lvlText w:val="%7."/>
      <w:lvlJc w:val="left"/>
      <w:pPr>
        <w:ind w:left="5328" w:hanging="360"/>
      </w:pPr>
    </w:lvl>
    <w:lvl w:ilvl="7" w:tplc="AF62AF0C" w:tentative="1">
      <w:start w:val="1"/>
      <w:numFmt w:val="lowerLetter"/>
      <w:lvlText w:val="%8."/>
      <w:lvlJc w:val="left"/>
      <w:pPr>
        <w:ind w:left="6048" w:hanging="360"/>
      </w:pPr>
    </w:lvl>
    <w:lvl w:ilvl="8" w:tplc="DBD8971C" w:tentative="1">
      <w:start w:val="1"/>
      <w:numFmt w:val="lowerRoman"/>
      <w:lvlText w:val="%9."/>
      <w:lvlJc w:val="right"/>
      <w:pPr>
        <w:ind w:left="6768" w:hanging="180"/>
      </w:pPr>
    </w:lvl>
  </w:abstractNum>
  <w:abstractNum w:abstractNumId="6"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09F2631"/>
    <w:multiLevelType w:val="multilevel"/>
    <w:tmpl w:val="4832352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val="0"/>
        <w:iCs w:val="0"/>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8"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15:restartNumberingAfterBreak="0">
    <w:nsid w:val="26763EF5"/>
    <w:multiLevelType w:val="hybridMultilevel"/>
    <w:tmpl w:val="D8188944"/>
    <w:lvl w:ilvl="0" w:tplc="684C8B70">
      <w:start w:val="1"/>
      <w:numFmt w:val="decimal"/>
      <w:lvlText w:val="%1)"/>
      <w:lvlJc w:val="left"/>
      <w:pPr>
        <w:ind w:left="1008" w:hanging="360"/>
      </w:pPr>
    </w:lvl>
    <w:lvl w:ilvl="1" w:tplc="E8F24176" w:tentative="1">
      <w:start w:val="1"/>
      <w:numFmt w:val="lowerLetter"/>
      <w:lvlText w:val="%2."/>
      <w:lvlJc w:val="left"/>
      <w:pPr>
        <w:ind w:left="1728" w:hanging="360"/>
      </w:pPr>
    </w:lvl>
    <w:lvl w:ilvl="2" w:tplc="B17688E6" w:tentative="1">
      <w:start w:val="1"/>
      <w:numFmt w:val="lowerRoman"/>
      <w:lvlText w:val="%3."/>
      <w:lvlJc w:val="right"/>
      <w:pPr>
        <w:ind w:left="2448" w:hanging="180"/>
      </w:pPr>
    </w:lvl>
    <w:lvl w:ilvl="3" w:tplc="424A609A" w:tentative="1">
      <w:start w:val="1"/>
      <w:numFmt w:val="decimal"/>
      <w:lvlText w:val="%4."/>
      <w:lvlJc w:val="left"/>
      <w:pPr>
        <w:ind w:left="3168" w:hanging="360"/>
      </w:pPr>
    </w:lvl>
    <w:lvl w:ilvl="4" w:tplc="4AAC28A2" w:tentative="1">
      <w:start w:val="1"/>
      <w:numFmt w:val="lowerLetter"/>
      <w:lvlText w:val="%5."/>
      <w:lvlJc w:val="left"/>
      <w:pPr>
        <w:ind w:left="3888" w:hanging="360"/>
      </w:pPr>
    </w:lvl>
    <w:lvl w:ilvl="5" w:tplc="4D1ECB36" w:tentative="1">
      <w:start w:val="1"/>
      <w:numFmt w:val="lowerRoman"/>
      <w:lvlText w:val="%6."/>
      <w:lvlJc w:val="right"/>
      <w:pPr>
        <w:ind w:left="4608" w:hanging="180"/>
      </w:pPr>
    </w:lvl>
    <w:lvl w:ilvl="6" w:tplc="7AF4532A" w:tentative="1">
      <w:start w:val="1"/>
      <w:numFmt w:val="decimal"/>
      <w:lvlText w:val="%7."/>
      <w:lvlJc w:val="left"/>
      <w:pPr>
        <w:ind w:left="5328" w:hanging="360"/>
      </w:pPr>
    </w:lvl>
    <w:lvl w:ilvl="7" w:tplc="E24042D6" w:tentative="1">
      <w:start w:val="1"/>
      <w:numFmt w:val="lowerLetter"/>
      <w:lvlText w:val="%8."/>
      <w:lvlJc w:val="left"/>
      <w:pPr>
        <w:ind w:left="6048" w:hanging="360"/>
      </w:pPr>
    </w:lvl>
    <w:lvl w:ilvl="8" w:tplc="89260B34" w:tentative="1">
      <w:start w:val="1"/>
      <w:numFmt w:val="lowerRoman"/>
      <w:lvlText w:val="%9."/>
      <w:lvlJc w:val="right"/>
      <w:pPr>
        <w:ind w:left="6768" w:hanging="180"/>
      </w:pPr>
    </w:lvl>
  </w:abstractNum>
  <w:abstractNum w:abstractNumId="10"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1E969CA"/>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2" w15:restartNumberingAfterBreak="0">
    <w:nsid w:val="364C4327"/>
    <w:multiLevelType w:val="hybridMultilevel"/>
    <w:tmpl w:val="D5A6EA86"/>
    <w:lvl w:ilvl="0" w:tplc="1150A17E">
      <w:start w:val="1"/>
      <w:numFmt w:val="bullet"/>
      <w:lvlText w:val=""/>
      <w:lvlJc w:val="left"/>
      <w:pPr>
        <w:ind w:left="720" w:hanging="360"/>
      </w:pPr>
      <w:rPr>
        <w:rFonts w:ascii="Symbol" w:hAnsi="Symbol" w:hint="default"/>
      </w:rPr>
    </w:lvl>
    <w:lvl w:ilvl="1" w:tplc="F970ECD2" w:tentative="1">
      <w:start w:val="1"/>
      <w:numFmt w:val="bullet"/>
      <w:lvlText w:val="o"/>
      <w:lvlJc w:val="left"/>
      <w:pPr>
        <w:ind w:left="1440" w:hanging="360"/>
      </w:pPr>
      <w:rPr>
        <w:rFonts w:ascii="Courier New" w:hAnsi="Courier New" w:cs="Courier New" w:hint="default"/>
      </w:rPr>
    </w:lvl>
    <w:lvl w:ilvl="2" w:tplc="DDB89078" w:tentative="1">
      <w:start w:val="1"/>
      <w:numFmt w:val="bullet"/>
      <w:lvlText w:val=""/>
      <w:lvlJc w:val="left"/>
      <w:pPr>
        <w:ind w:left="2160" w:hanging="360"/>
      </w:pPr>
      <w:rPr>
        <w:rFonts w:ascii="Wingdings" w:hAnsi="Wingdings" w:hint="default"/>
      </w:rPr>
    </w:lvl>
    <w:lvl w:ilvl="3" w:tplc="C4BE4B82" w:tentative="1">
      <w:start w:val="1"/>
      <w:numFmt w:val="bullet"/>
      <w:lvlText w:val=""/>
      <w:lvlJc w:val="left"/>
      <w:pPr>
        <w:ind w:left="2880" w:hanging="360"/>
      </w:pPr>
      <w:rPr>
        <w:rFonts w:ascii="Symbol" w:hAnsi="Symbol" w:hint="default"/>
      </w:rPr>
    </w:lvl>
    <w:lvl w:ilvl="4" w:tplc="3ECC83D8" w:tentative="1">
      <w:start w:val="1"/>
      <w:numFmt w:val="bullet"/>
      <w:lvlText w:val="o"/>
      <w:lvlJc w:val="left"/>
      <w:pPr>
        <w:ind w:left="3600" w:hanging="360"/>
      </w:pPr>
      <w:rPr>
        <w:rFonts w:ascii="Courier New" w:hAnsi="Courier New" w:cs="Courier New" w:hint="default"/>
      </w:rPr>
    </w:lvl>
    <w:lvl w:ilvl="5" w:tplc="9F5CF652" w:tentative="1">
      <w:start w:val="1"/>
      <w:numFmt w:val="bullet"/>
      <w:lvlText w:val=""/>
      <w:lvlJc w:val="left"/>
      <w:pPr>
        <w:ind w:left="4320" w:hanging="360"/>
      </w:pPr>
      <w:rPr>
        <w:rFonts w:ascii="Wingdings" w:hAnsi="Wingdings" w:hint="default"/>
      </w:rPr>
    </w:lvl>
    <w:lvl w:ilvl="6" w:tplc="3B906234" w:tentative="1">
      <w:start w:val="1"/>
      <w:numFmt w:val="bullet"/>
      <w:lvlText w:val=""/>
      <w:lvlJc w:val="left"/>
      <w:pPr>
        <w:ind w:left="5040" w:hanging="360"/>
      </w:pPr>
      <w:rPr>
        <w:rFonts w:ascii="Symbol" w:hAnsi="Symbol" w:hint="default"/>
      </w:rPr>
    </w:lvl>
    <w:lvl w:ilvl="7" w:tplc="C23E5EFE" w:tentative="1">
      <w:start w:val="1"/>
      <w:numFmt w:val="bullet"/>
      <w:lvlText w:val="o"/>
      <w:lvlJc w:val="left"/>
      <w:pPr>
        <w:ind w:left="5760" w:hanging="360"/>
      </w:pPr>
      <w:rPr>
        <w:rFonts w:ascii="Courier New" w:hAnsi="Courier New" w:cs="Courier New" w:hint="default"/>
      </w:rPr>
    </w:lvl>
    <w:lvl w:ilvl="8" w:tplc="98D4A642" w:tentative="1">
      <w:start w:val="1"/>
      <w:numFmt w:val="bullet"/>
      <w:lvlText w:val=""/>
      <w:lvlJc w:val="left"/>
      <w:pPr>
        <w:ind w:left="6480" w:hanging="360"/>
      </w:pPr>
      <w:rPr>
        <w:rFonts w:ascii="Wingdings" w:hAnsi="Wingdings" w:hint="default"/>
      </w:rPr>
    </w:lvl>
  </w:abstractNum>
  <w:abstractNum w:abstractNumId="13" w15:restartNumberingAfterBreak="0">
    <w:nsid w:val="371B498E"/>
    <w:multiLevelType w:val="hybridMultilevel"/>
    <w:tmpl w:val="47004E48"/>
    <w:lvl w:ilvl="0" w:tplc="F0908D9A">
      <w:start w:val="1"/>
      <w:numFmt w:val="decimal"/>
      <w:lvlText w:val="%1)"/>
      <w:lvlJc w:val="left"/>
      <w:pPr>
        <w:ind w:left="720" w:hanging="360"/>
      </w:pPr>
    </w:lvl>
    <w:lvl w:ilvl="1" w:tplc="AEF2FCA8" w:tentative="1">
      <w:start w:val="1"/>
      <w:numFmt w:val="lowerLetter"/>
      <w:lvlText w:val="%2."/>
      <w:lvlJc w:val="left"/>
      <w:pPr>
        <w:ind w:left="1440" w:hanging="360"/>
      </w:pPr>
    </w:lvl>
    <w:lvl w:ilvl="2" w:tplc="63D2D354" w:tentative="1">
      <w:start w:val="1"/>
      <w:numFmt w:val="lowerRoman"/>
      <w:lvlText w:val="%3."/>
      <w:lvlJc w:val="right"/>
      <w:pPr>
        <w:ind w:left="2160" w:hanging="180"/>
      </w:pPr>
    </w:lvl>
    <w:lvl w:ilvl="3" w:tplc="B5DEB05A" w:tentative="1">
      <w:start w:val="1"/>
      <w:numFmt w:val="decimal"/>
      <w:lvlText w:val="%4."/>
      <w:lvlJc w:val="left"/>
      <w:pPr>
        <w:ind w:left="2880" w:hanging="360"/>
      </w:pPr>
    </w:lvl>
    <w:lvl w:ilvl="4" w:tplc="1014391A" w:tentative="1">
      <w:start w:val="1"/>
      <w:numFmt w:val="lowerLetter"/>
      <w:lvlText w:val="%5."/>
      <w:lvlJc w:val="left"/>
      <w:pPr>
        <w:ind w:left="3600" w:hanging="360"/>
      </w:pPr>
    </w:lvl>
    <w:lvl w:ilvl="5" w:tplc="11E00F80" w:tentative="1">
      <w:start w:val="1"/>
      <w:numFmt w:val="lowerRoman"/>
      <w:lvlText w:val="%6."/>
      <w:lvlJc w:val="right"/>
      <w:pPr>
        <w:ind w:left="4320" w:hanging="180"/>
      </w:pPr>
    </w:lvl>
    <w:lvl w:ilvl="6" w:tplc="062C3D18" w:tentative="1">
      <w:start w:val="1"/>
      <w:numFmt w:val="decimal"/>
      <w:lvlText w:val="%7."/>
      <w:lvlJc w:val="left"/>
      <w:pPr>
        <w:ind w:left="5040" w:hanging="360"/>
      </w:pPr>
    </w:lvl>
    <w:lvl w:ilvl="7" w:tplc="272E8272" w:tentative="1">
      <w:start w:val="1"/>
      <w:numFmt w:val="lowerLetter"/>
      <w:lvlText w:val="%8."/>
      <w:lvlJc w:val="left"/>
      <w:pPr>
        <w:ind w:left="5760" w:hanging="360"/>
      </w:pPr>
    </w:lvl>
    <w:lvl w:ilvl="8" w:tplc="E3E0BE3E" w:tentative="1">
      <w:start w:val="1"/>
      <w:numFmt w:val="lowerRoman"/>
      <w:lvlText w:val="%9."/>
      <w:lvlJc w:val="right"/>
      <w:pPr>
        <w:ind w:left="6480" w:hanging="180"/>
      </w:pPr>
    </w:lvl>
  </w:abstractNum>
  <w:abstractNum w:abstractNumId="14" w15:restartNumberingAfterBreak="0">
    <w:nsid w:val="3B560C3C"/>
    <w:multiLevelType w:val="multilevel"/>
    <w:tmpl w:val="EA86DD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iCs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val="0"/>
        <w:iCs/>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5"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6" w15:restartNumberingAfterBreak="0">
    <w:nsid w:val="51DE7255"/>
    <w:multiLevelType w:val="hybridMultilevel"/>
    <w:tmpl w:val="1F126088"/>
    <w:lvl w:ilvl="0" w:tplc="5A94729E">
      <w:start w:val="1"/>
      <w:numFmt w:val="lowerLetter"/>
      <w:lvlText w:val="%1)"/>
      <w:lvlJc w:val="left"/>
      <w:pPr>
        <w:ind w:left="1080" w:hanging="360"/>
      </w:pPr>
      <w:rPr>
        <w:i w:val="0"/>
        <w:iCs w:val="0"/>
      </w:rPr>
    </w:lvl>
    <w:lvl w:ilvl="1" w:tplc="BA5499F0" w:tentative="1">
      <w:start w:val="1"/>
      <w:numFmt w:val="lowerLetter"/>
      <w:lvlText w:val="%2."/>
      <w:lvlJc w:val="left"/>
      <w:pPr>
        <w:ind w:left="1800" w:hanging="360"/>
      </w:pPr>
    </w:lvl>
    <w:lvl w:ilvl="2" w:tplc="0860C838" w:tentative="1">
      <w:start w:val="1"/>
      <w:numFmt w:val="lowerRoman"/>
      <w:lvlText w:val="%3."/>
      <w:lvlJc w:val="right"/>
      <w:pPr>
        <w:ind w:left="2520" w:hanging="180"/>
      </w:pPr>
    </w:lvl>
    <w:lvl w:ilvl="3" w:tplc="BDA88802" w:tentative="1">
      <w:start w:val="1"/>
      <w:numFmt w:val="decimal"/>
      <w:lvlText w:val="%4."/>
      <w:lvlJc w:val="left"/>
      <w:pPr>
        <w:ind w:left="3240" w:hanging="360"/>
      </w:pPr>
    </w:lvl>
    <w:lvl w:ilvl="4" w:tplc="568A56A2" w:tentative="1">
      <w:start w:val="1"/>
      <w:numFmt w:val="lowerLetter"/>
      <w:lvlText w:val="%5."/>
      <w:lvlJc w:val="left"/>
      <w:pPr>
        <w:ind w:left="3960" w:hanging="360"/>
      </w:pPr>
    </w:lvl>
    <w:lvl w:ilvl="5" w:tplc="1226C098" w:tentative="1">
      <w:start w:val="1"/>
      <w:numFmt w:val="lowerRoman"/>
      <w:lvlText w:val="%6."/>
      <w:lvlJc w:val="right"/>
      <w:pPr>
        <w:ind w:left="4680" w:hanging="180"/>
      </w:pPr>
    </w:lvl>
    <w:lvl w:ilvl="6" w:tplc="F78A0EBA" w:tentative="1">
      <w:start w:val="1"/>
      <w:numFmt w:val="decimal"/>
      <w:lvlText w:val="%7."/>
      <w:lvlJc w:val="left"/>
      <w:pPr>
        <w:ind w:left="5400" w:hanging="360"/>
      </w:pPr>
    </w:lvl>
    <w:lvl w:ilvl="7" w:tplc="5114FFC8" w:tentative="1">
      <w:start w:val="1"/>
      <w:numFmt w:val="lowerLetter"/>
      <w:lvlText w:val="%8."/>
      <w:lvlJc w:val="left"/>
      <w:pPr>
        <w:ind w:left="6120" w:hanging="360"/>
      </w:pPr>
    </w:lvl>
    <w:lvl w:ilvl="8" w:tplc="40AC8A96" w:tentative="1">
      <w:start w:val="1"/>
      <w:numFmt w:val="lowerRoman"/>
      <w:lvlText w:val="%9."/>
      <w:lvlJc w:val="right"/>
      <w:pPr>
        <w:ind w:left="6840" w:hanging="180"/>
      </w:pPr>
    </w:lvl>
  </w:abstractNum>
  <w:abstractNum w:abstractNumId="17"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8" w15:restartNumberingAfterBreak="0">
    <w:nsid w:val="5E1A52C0"/>
    <w:multiLevelType w:val="hybridMultilevel"/>
    <w:tmpl w:val="964C7FC6"/>
    <w:lvl w:ilvl="0" w:tplc="C0A613B0">
      <w:start w:val="3"/>
      <w:numFmt w:val="decimal"/>
      <w:lvlText w:val="%1)"/>
      <w:lvlJc w:val="left"/>
      <w:pPr>
        <w:ind w:left="720" w:hanging="360"/>
      </w:pPr>
      <w:rPr>
        <w:rFonts w:hint="default"/>
        <w:i w:val="0"/>
        <w:iCs w:val="0"/>
      </w:rPr>
    </w:lvl>
    <w:lvl w:ilvl="1" w:tplc="CAD4E5B6" w:tentative="1">
      <w:start w:val="1"/>
      <w:numFmt w:val="lowerLetter"/>
      <w:lvlText w:val="%2."/>
      <w:lvlJc w:val="left"/>
      <w:pPr>
        <w:ind w:left="1440" w:hanging="360"/>
      </w:pPr>
    </w:lvl>
    <w:lvl w:ilvl="2" w:tplc="247C2C14" w:tentative="1">
      <w:start w:val="1"/>
      <w:numFmt w:val="lowerRoman"/>
      <w:lvlText w:val="%3."/>
      <w:lvlJc w:val="right"/>
      <w:pPr>
        <w:ind w:left="2160" w:hanging="180"/>
      </w:pPr>
    </w:lvl>
    <w:lvl w:ilvl="3" w:tplc="4B4C3136" w:tentative="1">
      <w:start w:val="1"/>
      <w:numFmt w:val="decimal"/>
      <w:lvlText w:val="%4."/>
      <w:lvlJc w:val="left"/>
      <w:pPr>
        <w:ind w:left="2880" w:hanging="360"/>
      </w:pPr>
    </w:lvl>
    <w:lvl w:ilvl="4" w:tplc="4E00E31C" w:tentative="1">
      <w:start w:val="1"/>
      <w:numFmt w:val="lowerLetter"/>
      <w:lvlText w:val="%5."/>
      <w:lvlJc w:val="left"/>
      <w:pPr>
        <w:ind w:left="3600" w:hanging="360"/>
      </w:pPr>
    </w:lvl>
    <w:lvl w:ilvl="5" w:tplc="59CEB28C" w:tentative="1">
      <w:start w:val="1"/>
      <w:numFmt w:val="lowerRoman"/>
      <w:lvlText w:val="%6."/>
      <w:lvlJc w:val="right"/>
      <w:pPr>
        <w:ind w:left="4320" w:hanging="180"/>
      </w:pPr>
    </w:lvl>
    <w:lvl w:ilvl="6" w:tplc="5548049A" w:tentative="1">
      <w:start w:val="1"/>
      <w:numFmt w:val="decimal"/>
      <w:lvlText w:val="%7."/>
      <w:lvlJc w:val="left"/>
      <w:pPr>
        <w:ind w:left="5040" w:hanging="360"/>
      </w:pPr>
    </w:lvl>
    <w:lvl w:ilvl="7" w:tplc="E7040A38" w:tentative="1">
      <w:start w:val="1"/>
      <w:numFmt w:val="lowerLetter"/>
      <w:lvlText w:val="%8."/>
      <w:lvlJc w:val="left"/>
      <w:pPr>
        <w:ind w:left="5760" w:hanging="360"/>
      </w:pPr>
    </w:lvl>
    <w:lvl w:ilvl="8" w:tplc="424CE7D8" w:tentative="1">
      <w:start w:val="1"/>
      <w:numFmt w:val="lowerRoman"/>
      <w:lvlText w:val="%9."/>
      <w:lvlJc w:val="right"/>
      <w:pPr>
        <w:ind w:left="6480" w:hanging="180"/>
      </w:pPr>
    </w:lvl>
  </w:abstractNum>
  <w:abstractNum w:abstractNumId="19" w15:restartNumberingAfterBreak="0">
    <w:nsid w:val="690944A0"/>
    <w:multiLevelType w:val="hybridMultilevel"/>
    <w:tmpl w:val="2F508F10"/>
    <w:lvl w:ilvl="0" w:tplc="61964698">
      <w:start w:val="1"/>
      <w:numFmt w:val="decimal"/>
      <w:lvlText w:val="%1)"/>
      <w:lvlJc w:val="left"/>
      <w:pPr>
        <w:ind w:left="720" w:hanging="360"/>
      </w:pPr>
      <w:rPr>
        <w:i w:val="0"/>
        <w:iCs w:val="0"/>
      </w:rPr>
    </w:lvl>
    <w:lvl w:ilvl="1" w:tplc="AF6AF1FA" w:tentative="1">
      <w:start w:val="1"/>
      <w:numFmt w:val="lowerLetter"/>
      <w:lvlText w:val="%2."/>
      <w:lvlJc w:val="left"/>
      <w:pPr>
        <w:ind w:left="1440" w:hanging="360"/>
      </w:pPr>
    </w:lvl>
    <w:lvl w:ilvl="2" w:tplc="C0868AE6" w:tentative="1">
      <w:start w:val="1"/>
      <w:numFmt w:val="lowerRoman"/>
      <w:lvlText w:val="%3."/>
      <w:lvlJc w:val="right"/>
      <w:pPr>
        <w:ind w:left="2160" w:hanging="180"/>
      </w:pPr>
    </w:lvl>
    <w:lvl w:ilvl="3" w:tplc="0DA005BC" w:tentative="1">
      <w:start w:val="1"/>
      <w:numFmt w:val="decimal"/>
      <w:lvlText w:val="%4."/>
      <w:lvlJc w:val="left"/>
      <w:pPr>
        <w:ind w:left="2880" w:hanging="360"/>
      </w:pPr>
    </w:lvl>
    <w:lvl w:ilvl="4" w:tplc="6D106772" w:tentative="1">
      <w:start w:val="1"/>
      <w:numFmt w:val="lowerLetter"/>
      <w:lvlText w:val="%5."/>
      <w:lvlJc w:val="left"/>
      <w:pPr>
        <w:ind w:left="3600" w:hanging="360"/>
      </w:pPr>
    </w:lvl>
    <w:lvl w:ilvl="5" w:tplc="0582A3EE" w:tentative="1">
      <w:start w:val="1"/>
      <w:numFmt w:val="lowerRoman"/>
      <w:lvlText w:val="%6."/>
      <w:lvlJc w:val="right"/>
      <w:pPr>
        <w:ind w:left="4320" w:hanging="180"/>
      </w:pPr>
    </w:lvl>
    <w:lvl w:ilvl="6" w:tplc="5656963C" w:tentative="1">
      <w:start w:val="1"/>
      <w:numFmt w:val="decimal"/>
      <w:lvlText w:val="%7."/>
      <w:lvlJc w:val="left"/>
      <w:pPr>
        <w:ind w:left="5040" w:hanging="360"/>
      </w:pPr>
    </w:lvl>
    <w:lvl w:ilvl="7" w:tplc="0B507288" w:tentative="1">
      <w:start w:val="1"/>
      <w:numFmt w:val="lowerLetter"/>
      <w:lvlText w:val="%8."/>
      <w:lvlJc w:val="left"/>
      <w:pPr>
        <w:ind w:left="5760" w:hanging="360"/>
      </w:pPr>
    </w:lvl>
    <w:lvl w:ilvl="8" w:tplc="6332068C" w:tentative="1">
      <w:start w:val="1"/>
      <w:numFmt w:val="lowerRoman"/>
      <w:lvlText w:val="%9."/>
      <w:lvlJc w:val="right"/>
      <w:pPr>
        <w:ind w:left="6480" w:hanging="180"/>
      </w:pPr>
    </w:lvl>
  </w:abstractNum>
  <w:abstractNum w:abstractNumId="20"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08504540">
    <w:abstractNumId w:val="8"/>
  </w:num>
  <w:num w:numId="2" w16cid:durableId="1236669940">
    <w:abstractNumId w:val="15"/>
  </w:num>
  <w:num w:numId="3" w16cid:durableId="1926183472">
    <w:abstractNumId w:val="7"/>
  </w:num>
  <w:num w:numId="4" w16cid:durableId="1658336156">
    <w:abstractNumId w:val="3"/>
  </w:num>
  <w:num w:numId="5" w16cid:durableId="689526128">
    <w:abstractNumId w:val="6"/>
  </w:num>
  <w:num w:numId="6" w16cid:durableId="1545368821">
    <w:abstractNumId w:val="20"/>
  </w:num>
  <w:num w:numId="7" w16cid:durableId="1023357348">
    <w:abstractNumId w:val="4"/>
  </w:num>
  <w:num w:numId="8" w16cid:durableId="1655917044">
    <w:abstractNumId w:val="17"/>
  </w:num>
  <w:num w:numId="9" w16cid:durableId="598686358">
    <w:abstractNumId w:val="10"/>
  </w:num>
  <w:num w:numId="10" w16cid:durableId="1011834062">
    <w:abstractNumId w:val="11"/>
  </w:num>
  <w:num w:numId="11" w16cid:durableId="666832580">
    <w:abstractNumId w:val="12"/>
  </w:num>
  <w:num w:numId="12" w16cid:durableId="469441064">
    <w:abstractNumId w:val="14"/>
  </w:num>
  <w:num w:numId="13" w16cid:durableId="1029987077">
    <w:abstractNumId w:val="2"/>
  </w:num>
  <w:num w:numId="14" w16cid:durableId="91171206">
    <w:abstractNumId w:val="13"/>
  </w:num>
  <w:num w:numId="15" w16cid:durableId="798718904">
    <w:abstractNumId w:val="1"/>
  </w:num>
  <w:num w:numId="16" w16cid:durableId="1694458659">
    <w:abstractNumId w:val="19"/>
  </w:num>
  <w:num w:numId="17" w16cid:durableId="436608173">
    <w:abstractNumId w:val="18"/>
  </w:num>
  <w:num w:numId="18" w16cid:durableId="2143305822">
    <w:abstractNumId w:val="5"/>
  </w:num>
  <w:num w:numId="19" w16cid:durableId="1030836086">
    <w:abstractNumId w:val="9"/>
  </w:num>
  <w:num w:numId="20" w16cid:durableId="466749542">
    <w:abstractNumId w:val="16"/>
  </w:num>
  <w:num w:numId="21" w16cid:durableId="149559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E2"/>
    <w:rsid w:val="000116AC"/>
    <w:rsid w:val="00041FE5"/>
    <w:rsid w:val="000645C7"/>
    <w:rsid w:val="0006646E"/>
    <w:rsid w:val="000745D8"/>
    <w:rsid w:val="00090CBC"/>
    <w:rsid w:val="000C227B"/>
    <w:rsid w:val="000D243E"/>
    <w:rsid w:val="000E44E4"/>
    <w:rsid w:val="00116FDA"/>
    <w:rsid w:val="0012167B"/>
    <w:rsid w:val="001237BE"/>
    <w:rsid w:val="00143800"/>
    <w:rsid w:val="0014749D"/>
    <w:rsid w:val="001618CE"/>
    <w:rsid w:val="00165BAF"/>
    <w:rsid w:val="001876E2"/>
    <w:rsid w:val="0019788B"/>
    <w:rsid w:val="001A7A01"/>
    <w:rsid w:val="001A7DC3"/>
    <w:rsid w:val="001B270F"/>
    <w:rsid w:val="001B51C7"/>
    <w:rsid w:val="001B601D"/>
    <w:rsid w:val="001C1111"/>
    <w:rsid w:val="001D03D0"/>
    <w:rsid w:val="001E0CFC"/>
    <w:rsid w:val="00212528"/>
    <w:rsid w:val="00225282"/>
    <w:rsid w:val="002279B2"/>
    <w:rsid w:val="00240F75"/>
    <w:rsid w:val="00272E04"/>
    <w:rsid w:val="00281459"/>
    <w:rsid w:val="00294008"/>
    <w:rsid w:val="00294E64"/>
    <w:rsid w:val="002A5979"/>
    <w:rsid w:val="002B34AC"/>
    <w:rsid w:val="002C3F69"/>
    <w:rsid w:val="002C5124"/>
    <w:rsid w:val="002D109D"/>
    <w:rsid w:val="002D1A4B"/>
    <w:rsid w:val="002D5706"/>
    <w:rsid w:val="00306E70"/>
    <w:rsid w:val="00313B8F"/>
    <w:rsid w:val="00341F9A"/>
    <w:rsid w:val="00347E60"/>
    <w:rsid w:val="003575E6"/>
    <w:rsid w:val="003706B3"/>
    <w:rsid w:val="003872F7"/>
    <w:rsid w:val="0039542E"/>
    <w:rsid w:val="003C4D6E"/>
    <w:rsid w:val="003C549E"/>
    <w:rsid w:val="003D3066"/>
    <w:rsid w:val="003E3B0E"/>
    <w:rsid w:val="003F567A"/>
    <w:rsid w:val="00403F47"/>
    <w:rsid w:val="0040520B"/>
    <w:rsid w:val="00426C56"/>
    <w:rsid w:val="00430AE5"/>
    <w:rsid w:val="0048472D"/>
    <w:rsid w:val="004A17B1"/>
    <w:rsid w:val="004A3959"/>
    <w:rsid w:val="004B1E55"/>
    <w:rsid w:val="004D70F8"/>
    <w:rsid w:val="004E74EE"/>
    <w:rsid w:val="005038C4"/>
    <w:rsid w:val="00532772"/>
    <w:rsid w:val="00540356"/>
    <w:rsid w:val="0054261E"/>
    <w:rsid w:val="005454F6"/>
    <w:rsid w:val="00565A9A"/>
    <w:rsid w:val="0056797F"/>
    <w:rsid w:val="00575316"/>
    <w:rsid w:val="00577728"/>
    <w:rsid w:val="005900E3"/>
    <w:rsid w:val="0059257F"/>
    <w:rsid w:val="005B66DB"/>
    <w:rsid w:val="005B6C40"/>
    <w:rsid w:val="005C026B"/>
    <w:rsid w:val="0060728C"/>
    <w:rsid w:val="00607352"/>
    <w:rsid w:val="00615C07"/>
    <w:rsid w:val="00643731"/>
    <w:rsid w:val="006525F4"/>
    <w:rsid w:val="006549F3"/>
    <w:rsid w:val="006614E6"/>
    <w:rsid w:val="00672302"/>
    <w:rsid w:val="006873D1"/>
    <w:rsid w:val="00696042"/>
    <w:rsid w:val="006A48D1"/>
    <w:rsid w:val="006A58B2"/>
    <w:rsid w:val="006B29C2"/>
    <w:rsid w:val="006B4EF8"/>
    <w:rsid w:val="006B72B6"/>
    <w:rsid w:val="006B7F74"/>
    <w:rsid w:val="006C7283"/>
    <w:rsid w:val="006C7A76"/>
    <w:rsid w:val="006E49D1"/>
    <w:rsid w:val="006F3A4D"/>
    <w:rsid w:val="0070210F"/>
    <w:rsid w:val="007056B8"/>
    <w:rsid w:val="0071644E"/>
    <w:rsid w:val="00734C82"/>
    <w:rsid w:val="0073588A"/>
    <w:rsid w:val="007504A8"/>
    <w:rsid w:val="00750F91"/>
    <w:rsid w:val="00773513"/>
    <w:rsid w:val="0077698F"/>
    <w:rsid w:val="00776A47"/>
    <w:rsid w:val="00793C3D"/>
    <w:rsid w:val="007978F7"/>
    <w:rsid w:val="007B0158"/>
    <w:rsid w:val="007B35B8"/>
    <w:rsid w:val="007B7728"/>
    <w:rsid w:val="007D793E"/>
    <w:rsid w:val="007E34E3"/>
    <w:rsid w:val="00824FFF"/>
    <w:rsid w:val="0082717D"/>
    <w:rsid w:val="00832D9C"/>
    <w:rsid w:val="00847906"/>
    <w:rsid w:val="00882D66"/>
    <w:rsid w:val="008B64E6"/>
    <w:rsid w:val="008C3BAD"/>
    <w:rsid w:val="008C52C9"/>
    <w:rsid w:val="008D553B"/>
    <w:rsid w:val="008E3A34"/>
    <w:rsid w:val="00914DE2"/>
    <w:rsid w:val="00916CE6"/>
    <w:rsid w:val="00924939"/>
    <w:rsid w:val="009347E1"/>
    <w:rsid w:val="00943058"/>
    <w:rsid w:val="0094628A"/>
    <w:rsid w:val="009469CD"/>
    <w:rsid w:val="00956CF1"/>
    <w:rsid w:val="00960D61"/>
    <w:rsid w:val="009621C9"/>
    <w:rsid w:val="009622A3"/>
    <w:rsid w:val="009A2374"/>
    <w:rsid w:val="009D39F8"/>
    <w:rsid w:val="00A14A70"/>
    <w:rsid w:val="00A22966"/>
    <w:rsid w:val="00A24D72"/>
    <w:rsid w:val="00A26D37"/>
    <w:rsid w:val="00A31E59"/>
    <w:rsid w:val="00A61580"/>
    <w:rsid w:val="00A62C83"/>
    <w:rsid w:val="00A75208"/>
    <w:rsid w:val="00A84F85"/>
    <w:rsid w:val="00A857BF"/>
    <w:rsid w:val="00AA28D0"/>
    <w:rsid w:val="00AD4B9D"/>
    <w:rsid w:val="00AE4EBC"/>
    <w:rsid w:val="00AE59FB"/>
    <w:rsid w:val="00AF0643"/>
    <w:rsid w:val="00AF20CD"/>
    <w:rsid w:val="00AF729E"/>
    <w:rsid w:val="00B160DD"/>
    <w:rsid w:val="00B17441"/>
    <w:rsid w:val="00B423DB"/>
    <w:rsid w:val="00B44C3C"/>
    <w:rsid w:val="00B5475D"/>
    <w:rsid w:val="00B627AF"/>
    <w:rsid w:val="00B63EFD"/>
    <w:rsid w:val="00B6686F"/>
    <w:rsid w:val="00B67085"/>
    <w:rsid w:val="00B77CA6"/>
    <w:rsid w:val="00B8217B"/>
    <w:rsid w:val="00B82D8A"/>
    <w:rsid w:val="00B96A17"/>
    <w:rsid w:val="00BA100D"/>
    <w:rsid w:val="00BA3C0C"/>
    <w:rsid w:val="00BA4B73"/>
    <w:rsid w:val="00BB0369"/>
    <w:rsid w:val="00BB77A8"/>
    <w:rsid w:val="00BC2A24"/>
    <w:rsid w:val="00BC2DFD"/>
    <w:rsid w:val="00BF0406"/>
    <w:rsid w:val="00C037E9"/>
    <w:rsid w:val="00C05AFE"/>
    <w:rsid w:val="00C13148"/>
    <w:rsid w:val="00C23634"/>
    <w:rsid w:val="00C2522E"/>
    <w:rsid w:val="00C40459"/>
    <w:rsid w:val="00C70BD4"/>
    <w:rsid w:val="00C837FA"/>
    <w:rsid w:val="00C90FB1"/>
    <w:rsid w:val="00C95F47"/>
    <w:rsid w:val="00C96DDB"/>
    <w:rsid w:val="00CA4403"/>
    <w:rsid w:val="00CB51E7"/>
    <w:rsid w:val="00CB6D9E"/>
    <w:rsid w:val="00CB7367"/>
    <w:rsid w:val="00CE3578"/>
    <w:rsid w:val="00CE471C"/>
    <w:rsid w:val="00CE48D5"/>
    <w:rsid w:val="00D22211"/>
    <w:rsid w:val="00D267BE"/>
    <w:rsid w:val="00D47CC9"/>
    <w:rsid w:val="00D57912"/>
    <w:rsid w:val="00D61A7D"/>
    <w:rsid w:val="00D6247C"/>
    <w:rsid w:val="00D95A81"/>
    <w:rsid w:val="00D95B9F"/>
    <w:rsid w:val="00DB7EF8"/>
    <w:rsid w:val="00DE7DBC"/>
    <w:rsid w:val="00DF7AC9"/>
    <w:rsid w:val="00E00EF0"/>
    <w:rsid w:val="00E126CB"/>
    <w:rsid w:val="00E14BA1"/>
    <w:rsid w:val="00E15897"/>
    <w:rsid w:val="00E33254"/>
    <w:rsid w:val="00E5128F"/>
    <w:rsid w:val="00E60954"/>
    <w:rsid w:val="00EB2A17"/>
    <w:rsid w:val="00EB5AC6"/>
    <w:rsid w:val="00EB6DBE"/>
    <w:rsid w:val="00EC4A5C"/>
    <w:rsid w:val="00ED0BCF"/>
    <w:rsid w:val="00ED0F3B"/>
    <w:rsid w:val="00ED5583"/>
    <w:rsid w:val="00EE5680"/>
    <w:rsid w:val="00F04F31"/>
    <w:rsid w:val="00F06830"/>
    <w:rsid w:val="00F22469"/>
    <w:rsid w:val="00F25477"/>
    <w:rsid w:val="00F41F74"/>
    <w:rsid w:val="00F54A62"/>
    <w:rsid w:val="00F607AA"/>
    <w:rsid w:val="00FB2475"/>
    <w:rsid w:val="00FC34B4"/>
    <w:rsid w:val="00FD09C6"/>
    <w:rsid w:val="00FD0A41"/>
    <w:rsid w:val="00FD0B3B"/>
    <w:rsid w:val="00FD5538"/>
    <w:rsid w:val="00FD74BD"/>
    <w:rsid w:val="00FE3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14E0"/>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Abtract">
    <w:name w:val="IEEE Abtract"/>
    <w:basedOn w:val="Normal"/>
    <w:next w:val="Normal"/>
    <w:link w:val="IEEEAbtractChar"/>
    <w:rsid w:val="00750F91"/>
    <w:pPr>
      <w:widowControl/>
      <w:pBdr>
        <w:top w:val="none" w:sz="0" w:space="0" w:color="auto"/>
        <w:left w:val="none" w:sz="0" w:space="0" w:color="auto"/>
        <w:bottom w:val="none" w:sz="0" w:space="0" w:color="auto"/>
        <w:right w:val="none" w:sz="0" w:space="0" w:color="auto"/>
        <w:between w:val="none" w:sz="0" w:space="0" w:color="auto"/>
      </w:pBdr>
      <w:adjustRightInd w:val="0"/>
      <w:snapToGrid w:val="0"/>
      <w:jc w:val="both"/>
    </w:pPr>
    <w:rPr>
      <w:rFonts w:eastAsia="SimSun"/>
      <w:b/>
      <w:color w:val="auto"/>
      <w:sz w:val="18"/>
      <w:szCs w:val="24"/>
      <w:lang w:val="en-GB" w:eastAsia="en-GB"/>
    </w:rPr>
  </w:style>
  <w:style w:type="character" w:customStyle="1" w:styleId="IEEEAbtractChar">
    <w:name w:val="IEEE Abtract Char"/>
    <w:link w:val="IEEEAbtract"/>
    <w:rsid w:val="00750F91"/>
    <w:rPr>
      <w:rFonts w:eastAsia="SimSun"/>
      <w:b/>
      <w:color w:val="auto"/>
      <w:sz w:val="18"/>
      <w:szCs w:val="24"/>
      <w:lang w:val="en-GB" w:eastAsia="en-GB"/>
    </w:rPr>
  </w:style>
  <w:style w:type="character" w:styleId="PlaceholderText">
    <w:name w:val="Placeholder Text"/>
    <w:basedOn w:val="DefaultParagraphFont"/>
    <w:uiPriority w:val="99"/>
    <w:semiHidden/>
    <w:rsid w:val="003E3B0E"/>
    <w:rPr>
      <w:color w:val="808080"/>
    </w:rPr>
  </w:style>
  <w:style w:type="paragraph" w:styleId="ListParagraph">
    <w:name w:val="List Paragraph"/>
    <w:basedOn w:val="Normal"/>
    <w:uiPriority w:val="34"/>
    <w:qFormat/>
    <w:rsid w:val="006B72B6"/>
    <w:pPr>
      <w:ind w:left="720"/>
      <w:contextualSpacing/>
    </w:pPr>
  </w:style>
  <w:style w:type="paragraph" w:customStyle="1" w:styleId="IEEEParagraph">
    <w:name w:val="IEEE Paragraph"/>
    <w:basedOn w:val="Normal"/>
    <w:link w:val="IEEEParagraphChar"/>
    <w:rsid w:val="00294008"/>
    <w:pPr>
      <w:widowControl/>
      <w:pBdr>
        <w:top w:val="none" w:sz="0" w:space="0" w:color="auto"/>
        <w:left w:val="none" w:sz="0" w:space="0" w:color="auto"/>
        <w:bottom w:val="none" w:sz="0" w:space="0" w:color="auto"/>
        <w:right w:val="none" w:sz="0" w:space="0" w:color="auto"/>
        <w:between w:val="none" w:sz="0" w:space="0" w:color="auto"/>
      </w:pBdr>
      <w:adjustRightInd w:val="0"/>
      <w:snapToGrid w:val="0"/>
      <w:ind w:firstLine="216"/>
      <w:jc w:val="both"/>
    </w:pPr>
    <w:rPr>
      <w:rFonts w:eastAsia="SimSun"/>
      <w:color w:val="auto"/>
      <w:szCs w:val="24"/>
      <w:lang w:val="en-AU" w:eastAsia="zh-CN"/>
    </w:rPr>
  </w:style>
  <w:style w:type="character" w:customStyle="1" w:styleId="IEEEParagraphChar">
    <w:name w:val="IEEE Paragraph Char"/>
    <w:link w:val="IEEEParagraph"/>
    <w:rsid w:val="00294008"/>
    <w:rPr>
      <w:rFonts w:eastAsia="SimSun"/>
      <w:color w:val="auto"/>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519A4-F1B5-4C28-95FB-5BB267EA3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Pages>
  <Words>17261</Words>
  <Characters>98392</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2023-11-17T00:25:00Z</dcterms:created>
  <dcterms:modified xsi:type="dcterms:W3CDTF">2023-11-28T08:54:00Z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http://www.zotero.org/styles/harvard1</vt:lpwstr>
  </property>
  <property fmtid="{D5CDD505-2E9C-101B-9397-08002B2CF9AE}" pid="11" name="Mendeley Recent Style Id 7_1">
    <vt:lpwstr>http://www.zotero.org/styles/ieee</vt:lpwstr>
  </property>
  <property fmtid="{D5CDD505-2E9C-101B-9397-08002B2CF9AE}" pid="12" name="Mendeley Recent Style Id 8_1">
    <vt:lpwstr>http://www.zotero.org/styles/institut-pertanian-bogor</vt:lpwstr>
  </property>
  <property fmtid="{D5CDD505-2E9C-101B-9397-08002B2CF9AE}" pid="13" name="Mendeley Recent Style Id 9_1">
    <vt:lpwstr>http://www.zotero.org/styles/modern-humanities-research-association</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12th edition - Harvard</vt:lpwstr>
  </property>
  <property fmtid="{D5CDD505-2E9C-101B-9397-08002B2CF9AE}" pid="20" name="Mendeley Recent Style Name 6_1">
    <vt:lpwstr>Harvard reference format 1 (deprecated)</vt:lpwstr>
  </property>
  <property fmtid="{D5CDD505-2E9C-101B-9397-08002B2CF9AE}" pid="21" name="Mendeley Recent Style Name 7_1">
    <vt:lpwstr>IEEE</vt:lpwstr>
  </property>
  <property fmtid="{D5CDD505-2E9C-101B-9397-08002B2CF9AE}" pid="22" name="Mendeley Recent Style Name 8_1">
    <vt:lpwstr>Institut Pertanian Bogor: Pedoman Penulisan Karya Ilmiah Edisi ke-4 (Indonesian)</vt:lpwstr>
  </property>
  <property fmtid="{D5CDD505-2E9C-101B-9397-08002B2CF9AE}" pid="23" name="Mendeley Recent Style Name 9_1">
    <vt:lpwstr>Modern Humanities Research Association 3rd edition (note with bibliography)</vt:lpwstr>
  </property>
  <property fmtid="{D5CDD505-2E9C-101B-9397-08002B2CF9AE}" pid="24" name="Mendeley Unique User Id_1">
    <vt:lpwstr>ded2384d-9d7f-3c87-8bc8-81edfd1f910c</vt:lpwstr>
  </property>
</Properties>
</file>